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MRS. ZSUZSA KARDOS BANCSI</w:t>
            </w:r>
          </w:p>
          <w:p w:rsidR="00C275A3" w:rsidRDefault="00A96AEC" w:rsidP="00C275A3">
            <w:pPr>
              <w:pStyle w:val="Hallgatokepzes"/>
            </w:pPr>
            <w:r>
              <w:t>History</w:t>
            </w:r>
            <w:r>
              <w:br/>
            </w:r>
            <w:r w:rsidR="00E77B23">
              <w:t>BA, 8. semester</w:t>
            </w:r>
          </w:p>
          <w:p w:rsidR="00C265CE" w:rsidRPr="009E5FF1" w:rsidRDefault="00E77B23" w:rsidP="00C275A3">
            <w:pPr>
              <w:pStyle w:val="Hallgatokepzes"/>
              <w:rPr>
                <w:b/>
                <w:caps/>
              </w:rPr>
            </w:pPr>
            <w:r>
              <w:t>University of Debrecen</w:t>
            </w:r>
            <w:r w:rsidR="00C275A3">
              <w:br/>
            </w:r>
            <w:r w:rsidR="00DB4822">
              <w:t>Faculty of Arts and Humanities</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Supervisor:</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Zoltán Nemes PhD</w:t>
            </w:r>
          </w:p>
          <w:p w:rsidR="00DB4822" w:rsidRDefault="00DB4822" w:rsidP="00E11062">
            <w:pPr>
              <w:pStyle w:val="Konzulensek"/>
            </w:pPr>
            <w:r w:rsidRPr="00DB4822">
              <w:t>associata professor, DE BTK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Dressing and what’s behind – Clothing in Attica, 5-4th century BC</w:t>
      </w:r>
      <w:r>
        <w:t xml:space="preserve"/>
      </w:r>
    </w:p>
    <w:p w:rsidR="00D71DF5" w:rsidRDefault="00D71DF5" w:rsidP="00AD2602">
      <w:pPr>
        <w:jc w:val="both"/>
      </w:pPr>
    </w:p>
    <w:p>
      <w:pPr>
        <w:widowControl w:val="on"/>
        <w:pBdr/>
        <w:spacing w:before="240" w:after="240" w:line="240" w:lineRule="auto"/>
        <w:ind w:left="0" w:right="0"/>
        <w:jc w:val="left"/>
      </w:pPr>
      <w:r>
        <w:rPr>
          <w:color w:val="000000"/>
          <w:sz w:val="24"/>
          <w:szCs w:val="24"/>
        </w:rPr>
        <w:t xml:space="preserve">In my paper I aim to examine the Attican clothing in the classical period with thehelp of Menander’s and Aristphanes’ comedies as well as the remaining relics (vases, funeralsteles) as primary sources. I try to present clothing in a way that it also reflects the peoplewearing them, their everyday lives, and their seemingly trivial problems. Menander and Aristophanes in their comedies depict the period in its enteriety, therefore I think that thesecan be considered as relevant resources for my investigation.</w:t>
      </w:r>
    </w:p>
    <w:p>
      <w:pPr>
        <w:widowControl w:val="on"/>
        <w:pBdr/>
        <w:spacing w:before="240" w:after="240" w:line="240" w:lineRule="auto"/>
        <w:ind w:left="0" w:right="0"/>
        <w:jc w:val="left"/>
      </w:pPr>
      <w:r>
        <w:rPr>
          <w:color w:val="000000"/>
          <w:sz w:val="24"/>
          <w:szCs w:val="24"/>
        </w:rPr>
        <w:t xml:space="preserve">Although clothing is one of the most important aspects of life in the classical period, Hungarian researches have not paid enough attention to it yet. There are works on thehistory of fashion (available in Hungarian translations), however, these do not go furtherthan separately describing pieces of clothing as ”Greek clothing” but without highlightingthe differences between the clothing of slaves and freemen, or the clothing of townsmenand villagers for that matter. These works are heedless of the fact that we cannot definea homogenous way of clothing in that period. Besides, these works leave out from theirinvestigation the written sources and they do not pay attention to the colour differences either. Taking these aspects into consideration, our research could and will shed a new lighton the way we think about classical clothing.</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57279680">
    <w:multiLevelType w:val="hybridMultilevel"/>
    <w:lvl w:ilvl="0" w:tplc="9775176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57279680">
    <w:abstractNumId w:val="5727968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03110594"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