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ANDRÁS JAKAB</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Püski</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1970 banning of the band Illés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present the 1970 banning of the band Illés. Three main sources were used: reminiscences of and subsequent interviews with the people involved, press articlesfrom the time and reports by agents working around the band, instructed by the government.</w:t>
      </w:r>
    </w:p>
    <w:p>
      <w:pPr>
        <w:widowControl w:val="on"/>
        <w:pBdr/>
        <w:spacing w:before="240" w:after="240" w:line="240" w:lineRule="auto"/>
        <w:ind w:left="0" w:right="0"/>
        <w:jc w:val="left"/>
      </w:pPr>
      <w:r>
        <w:rPr>
          <w:color w:val="000000"/>
          <w:sz w:val="24"/>
          <w:szCs w:val="24"/>
        </w:rPr>
        <w:t xml:space="preserve">The first part of the paper describes the changes in the Hungarian music scene from the mid-1960’s, the role of the band Illés in it, their achievements (e.g., at music festivals) and their scandals. This was followed by a London tour in early 1970 and the statement made via the Hungarian programme of the BBC, due to which the band had been banned upon their arrival home from playing live in Budapest, making records or any songs written by the members being played on television and radio until the end of the year.</w:t>
      </w:r>
    </w:p>
    <w:p>
      <w:pPr>
        <w:widowControl w:val="on"/>
        <w:pBdr/>
        <w:spacing w:before="240" w:after="240" w:line="240" w:lineRule="auto"/>
        <w:ind w:left="0" w:right="0"/>
        <w:jc w:val="left"/>
      </w:pPr>
      <w:r>
        <w:rPr>
          <w:color w:val="000000"/>
          <w:sz w:val="24"/>
          <w:szCs w:val="24"/>
        </w:rPr>
        <w:t xml:space="preserve">Detailed analysis of the radio announcement was not possible as only a smallpart of it survived, necessitating the use of indirect sources in this matter.</w:t>
      </w:r>
    </w:p>
    <w:p>
      <w:pPr>
        <w:widowControl w:val="on"/>
        <w:pBdr/>
        <w:spacing w:before="240" w:after="240" w:line="240" w:lineRule="auto"/>
        <w:ind w:left="0" w:right="0"/>
        <w:jc w:val="left"/>
      </w:pPr>
      <w:r>
        <w:rPr>
          <w:color w:val="000000"/>
          <w:sz w:val="24"/>
          <w:szCs w:val="24"/>
        </w:rPr>
        <w:t xml:space="preserve">The attitudes of government offices and institutions towards the band is presented briefly, the two extremities of which were represented by the hard-line Barnáné working at the Ministry of Education and Pál Keszler, president of the National Auteurial Office, who stood by the band and regularly provided them with opportunities of playing at concerts outside of the capital.</w:t>
      </w:r>
    </w:p>
    <w:p>
      <w:pPr>
        <w:widowControl w:val="on"/>
        <w:pBdr/>
        <w:spacing w:before="240" w:after="240" w:line="240" w:lineRule="auto"/>
        <w:ind w:left="0" w:right="0"/>
        <w:jc w:val="left"/>
      </w:pPr>
      <w:r>
        <w:rPr>
          <w:color w:val="000000"/>
          <w:sz w:val="24"/>
          <w:szCs w:val="24"/>
        </w:rPr>
        <w:t xml:space="preserve">The largest part of this paper is concerned with the analysis of the agent reports, some of these comprising new material never examined before. The reports of four agents are analysed deeply, the aliases of these agents being ’Gara’, Mosolygó’, ’Papp Ferenc’ and ’Pier’, all of them joining the company of the band from different directions. ’Gara’ and ’Papp Ferenc’ were musicians themselves, having a friendly relation to different band members, ’Pier’ gathering news from the audience, whereas ’Mosolygó’ was intended to infiltrate the band’s circle of friends.</w:t>
      </w:r>
    </w:p>
    <w:p>
      <w:pPr>
        <w:widowControl w:val="on"/>
        <w:pBdr/>
        <w:spacing w:before="240" w:after="240" w:line="240" w:lineRule="auto"/>
        <w:ind w:left="0" w:right="0"/>
        <w:jc w:val="left"/>
      </w:pPr>
      <w:r>
        <w:rPr>
          <w:color w:val="000000"/>
          <w:sz w:val="24"/>
          <w:szCs w:val="24"/>
        </w:rPr>
        <w:t xml:space="preserve">Another chapter deals with the article by István Takács entitled ’Sértett szentek vagy Illésék és pofonjaik’, which was meant to inform the public about the official reasons of the ban. The circumstances of the article’s birth are introduced, followed by analyses of parts of the text. The reactions of the audience to the article can be depicted by the reports of agents. The band’s reply is also discussed in the paper.</w:t>
      </w:r>
    </w:p>
    <w:p>
      <w:pPr>
        <w:widowControl w:val="on"/>
        <w:pBdr/>
        <w:spacing w:before="240" w:after="240" w:line="240" w:lineRule="auto"/>
        <w:ind w:left="0" w:right="0"/>
        <w:jc w:val="left"/>
      </w:pPr>
      <w:r>
        <w:rPr>
          <w:color w:val="000000"/>
          <w:sz w:val="24"/>
          <w:szCs w:val="24"/>
        </w:rPr>
        <w:t xml:space="preserve">In December, 1970 the ban was lifted, allowing the band to return to its normal course. The last section of the paper describes the end of the ban and its repercussions.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67138">
    <w:multiLevelType w:val="hybridMultilevel"/>
    <w:lvl w:ilvl="0" w:tplc="84330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67138">
    <w:abstractNumId w:val="25067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884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