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BÁRTFAI</w:t>
            </w:r>
          </w:p>
          <w:p w:rsidR="00C275A3" w:rsidRDefault="00A96AEC" w:rsidP="00C275A3">
            <w:pPr>
              <w:pStyle w:val="Hallgatokepzes"/>
            </w:pPr>
            <w:r>
              <w:t>Finno-Ugric Studies MA</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Kozmács</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interpretations of Leea Klemola’s Kokkola for non-Finnish readers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Leea Klemola’s Kokkola is one of the finest examples of contemporary Finnish drama. Mari Teittinen perfectly describes the essence of Kokkola: „Kokkola is about a small group of people. A little world full of self humiliation, public transportation, alcohol and hopeless love of two siblings. Kokkola is a chaotic and absurd drama, in which we can think and laugh about our craziness.”</w:t>
      </w:r>
    </w:p>
    <w:p>
      <w:pPr>
        <w:pBdr/>
        <w:spacing w:before="240" w:after="240" w:line="240" w:lineRule="auto"/>
        <w:ind w:left="0" w:right="0"/>
        <w:jc w:val="left"/>
      </w:pPr>
      <w:r>
        <w:rPr>
          <w:color w:val="000000"/>
          <w:sz w:val="24"/>
          <w:szCs w:val="24"/>
        </w:rPr>
        <w:t xml:space="preserve">Leea Klemola said that her drama is especially for the Finnish audience, and for foreign people it might be hard to understand. I seriously doubt this statement. In my paper I will prove with the help of intertextual elements, that Kokkola is easily interpretable by non-Finnish audience. In fact, it has already been proven by the number of translations of Kokkola. It has been translated to Czech, English, Estonian, Hungarian and Russian. Kokkola has also been played in theatres outside of Finland, in the Czech Republic, the Estonian Republic and even in the USA.</w:t>
      </w:r>
    </w:p>
    <w:p>
      <w:pPr>
        <w:pBdr/>
        <w:spacing w:before="240" w:after="240" w:line="240" w:lineRule="auto"/>
        <w:ind w:left="0" w:right="0"/>
        <w:jc w:val="left"/>
      </w:pPr>
      <w:r>
        <w:rPr>
          <w:color w:val="000000"/>
          <w:sz w:val="24"/>
          <w:szCs w:val="24"/>
        </w:rPr>
        <w:t xml:space="preserve">In my paper I will analyze Kokkola’s referentiality, the mentioning of religious topics and the presence of German and Russian intertextual elements in detail. I will also analyze the occurrence of modern devices. In the end it will be clear, why Kokkola is perfectly interpretable for non-Finnish audiences. Even though only a couple of people read contemporary Finnish literature in Hungary, I hope my analysis points out, that our language relatives’ literature is worth of reading.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37589">
    <w:multiLevelType w:val="hybridMultilevel"/>
    <w:lvl w:ilvl="0" w:tplc="10069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37589">
    <w:abstractNumId w:val="40737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480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