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DR. STEINBACHNÉ BOBOK ANNA ILONA</w:t>
            </w:r>
          </w:p>
          <w:p w:rsidR="00C275A3" w:rsidRDefault="00A96AEC" w:rsidP="00C275A3">
            <w:pPr>
              <w:pStyle w:val="Hallgatokepzes"/>
            </w:pPr>
            <w:r>
              <w:t>Magyar nyelv és irodalom MA</w:t>
            </w:r>
            <w:r>
              <w:br/>
            </w:r>
            <w:r w:rsidR="00E77B23">
              <w:t>MA, 3.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Fogarasi György</w:t>
            </w:r>
          </w:p>
          <w:p w:rsidR="00DB4822" w:rsidRDefault="00DB4822" w:rsidP="00E11062">
            <w:pPr>
              <w:pStyle w:val="Konzulensek"/>
            </w:pPr>
            <w:r w:rsidRPr="00DB4822">
              <w:t>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Rokon kételyek? Nyelv és megismerés Nemes Nagy Ágnes esszéiben - nietzschei szemszögből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Nemes Nagy Ágnes kiválasztott esszéiben vizsgálom a szerző megismerésről és a nyelvről alkotott nézeteit. Az elemzés a szövegek összehasonlításán alapul Nietzsche A nem-morálisan fölfogott igazságról és hazugságról című írásával. Mindkét szerző foglalkozik az emberi megismerés kérdéseivel, a nyelv kialakulásával, a nyelv működésével, a kommunikáció lehetségességével és a művészi nyelvhasználat szerepével egyaránt.</w:t>
      </w:r>
    </w:p>
    <w:p>
      <w:pPr>
        <w:widowControl w:val="on"/>
        <w:pBdr/>
        <w:spacing w:before="240" w:after="240" w:line="240" w:lineRule="auto"/>
        <w:ind w:left="0" w:right="0"/>
        <w:jc w:val="left"/>
      </w:pPr>
      <w:r>
        <w:rPr>
          <w:color w:val="000000"/>
          <w:sz w:val="24"/>
          <w:szCs w:val="24"/>
        </w:rPr>
        <w:t xml:space="preserve">Nemes Nagy és Nietzsche eltérő ismeretelméleti megközelítése ellenére fejtegetéseikben találhatók közös pontok. Az emberi megismerésen Nietzsche az objektív valóság megismerését kéri számon, míg Nemes Nagy az ember által érzékelt világ nyelvi megragadásának lehetőségeit kutatja. Azonban mindkét szerző alapvetőnek tartja a művészi, vagyis metaforikus nyelvhasználatot a nyelv működése szempontjából, továbbá a fordítás elvének megjelenését a nyelvi jel létrejöttekor és a kommunikáció során. A két szerző hasonló metaforikát használ az ismeretlen és meg nem nevezett entitások jellemzése során. A dolgozat célját a hasonlóságok és eltérések feltérképezésével valósítja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24702">
    <w:multiLevelType w:val="hybridMultilevel"/>
    <w:lvl w:ilvl="0" w:tplc="27959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24702">
    <w:abstractNumId w:val="187247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4754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