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HURI</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Mankovits</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Incompressibility analysis of rubber type materials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presents the possibilities of the FEMAP 9.3 commercial finite element software used at the Department of Mechanical Engineering in the University of Debrecen for analyzing rubber type materials. Using the Mooney-Rivlin material model on compressed rubber parts the W strain energy density function depends on 3 input parameters (C</w:t>
      </w:r>
      <w:r>
        <w:rPr>
          <w:color w:val="000000"/>
          <w:position w:val="-4"/>
          <w:sz w:val="21"/>
          <w:szCs w:val="21"/>
          <w:vertAlign w:val="subscript"/>
        </w:rPr>
        <w:t xml:space="preserve">10</w:t>
      </w:r>
      <w:r>
        <w:rPr>
          <w:color w:val="000000"/>
          <w:sz w:val="24"/>
          <w:szCs w:val="24"/>
        </w:rPr>
        <w:t xml:space="preserve">, C</w:t>
      </w:r>
      <w:r>
        <w:rPr>
          <w:color w:val="000000"/>
          <w:position w:val="-4"/>
          <w:sz w:val="21"/>
          <w:szCs w:val="21"/>
          <w:vertAlign w:val="subscript"/>
        </w:rPr>
        <w:t xml:space="preserve">01</w:t>
      </w:r>
      <w:r>
        <w:rPr>
          <w:color w:val="000000"/>
          <w:sz w:val="24"/>
          <w:szCs w:val="24"/>
        </w:rPr>
        <w:t xml:space="preserve"> and K). After the so called mesh locking test on incompressible materials we found that four-node isoparametric quadrilateral elements provide more accurate solution than the three-node one. The proper selection of the input datas and finite element settings (preprocessing) is very important task, because the material properties are greatly influenced by those ones.</w:t>
      </w:r>
    </w:p>
    <w:p>
      <w:pPr>
        <w:pBdr/>
        <w:spacing w:before="240" w:after="240" w:line="240" w:lineRule="auto"/>
        <w:ind w:left="0" w:right="0"/>
        <w:jc w:val="left"/>
      </w:pPr>
      <w:r>
        <w:rPr>
          <w:color w:val="000000"/>
          <w:sz w:val="24"/>
          <w:szCs w:val="24"/>
        </w:rPr>
        <w:t xml:space="preserve">The rubber incompressibility can be ensured by the correct selection of the K bulk modulus. We calculated the volumetric ratio for different values of bulk modulus. The conclusion of the numerical experiment was that applying K=512MPa, the incompressible behavior is sufficiently ensured.</w:t>
      </w:r>
    </w:p>
    <w:p>
      <w:pPr>
        <w:pBdr/>
        <w:spacing w:before="240" w:after="240" w:line="240" w:lineRule="auto"/>
        <w:ind w:left="0" w:right="0"/>
        <w:jc w:val="left"/>
      </w:pPr>
      <w:r>
        <w:rPr>
          <w:color w:val="000000"/>
          <w:sz w:val="24"/>
          <w:szCs w:val="24"/>
        </w:rPr>
        <w:t xml:space="preserve">We presented a new method for the measurement of rubber compressibility, where the rubber is behaved as a nearly incompressible material. Hereby, we are able to determine the exact value of K for rubbers.</w:t>
      </w:r>
    </w:p>
    <w:p>
      <w:pPr>
        <w:pBdr/>
        <w:spacing w:before="240" w:after="240" w:line="240" w:lineRule="auto"/>
        <w:ind w:left="0" w:right="0"/>
        <w:jc w:val="left"/>
      </w:pPr>
      <w:r>
        <w:rPr>
          <w:color w:val="000000"/>
          <w:sz w:val="24"/>
          <w:szCs w:val="24"/>
        </w:rPr>
        <w:t xml:space="preserve">We carried out laboratory compressive tests and deformation measurements so we could optimize the deformation of our finite element model. Through the comparison of the softwares results it can be seen that the FEMAP can extensively cope with the problem. In addition, we presented a novel optimization procedure to determine the Mooney-Rivlin material model coefficients.</w:t>
      </w:r>
    </w:p>
    <w:p>
      <w:pPr>
        <w:pBdr/>
        <w:spacing w:before="240" w:after="240" w:line="240" w:lineRule="auto"/>
        <w:ind w:left="0" w:right="0"/>
        <w:jc w:val="left"/>
      </w:pPr>
      <w:r>
        <w:rPr>
          <w:color w:val="000000"/>
          <w:sz w:val="24"/>
          <w:szCs w:val="24"/>
        </w:rPr>
        <w:t xml:space="preserve">Our further goal is to obtain results from real industrial examples. The usage of these results make us possible to provide proper finite element analysis on rubber springs. On a rubber spring loaded with prescribed displacement we are able to calculate its load-displacement curve and deformation.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918300">
    <w:multiLevelType w:val="hybridMultilevel"/>
    <w:lvl w:ilvl="0" w:tplc="69787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918300">
    <w:abstractNumId w:val="93918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4920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