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RUSZKAI ZSÓFIA</w:t>
            </w:r>
          </w:p>
          <w:p w:rsidR="00C275A3" w:rsidRDefault="00A96AEC" w:rsidP="00C275A3">
            <w:pPr>
              <w:pStyle w:val="Hallgatokepzes"/>
            </w:pPr>
            <w:r>
              <w:t>Történelem</w:t>
            </w:r>
            <w:r>
              <w:br/>
            </w:r>
            <w:r w:rsidR="00E77B23">
              <w:t>MA, 7.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Forgó András</w:t>
            </w:r>
          </w:p>
          <w:p w:rsidR="00DB4822" w:rsidRDefault="00DB4822" w:rsidP="00E11062">
            <w:pPr>
              <w:pStyle w:val="Konzulensek"/>
            </w:pPr>
            <w:r w:rsidRPr="00DB4822">
              <w:t>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Rákóczi-szabadságharc az angol és az itáliai propagandában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XVII. század végén zajló Wesselényi- és Thököly-féle függetlenségi törekvések nagy visszhangot váltottak ki a korabeli sajtótermékekben. Ez a visszhang nyitott utat a későbbi Rákóczi-szabadságharc elleni propaganda előtt. A felkeléssel kapcsolatban keletkezett, elsősorban német és angol nyelvű röplapok és újságok a hazai szakirodalomban jól ismertek. Míg a császári propaganda gépezete keményen dolgozott, hogy minél kedvezőtlenebb színben tüntesse fel II. Rákóczi Ferencet, addig Angliában bár szívükön viselték a magyar protestánsok ügyét, de nem helyeselték a felkelést.</w:t>
      </w:r>
      <w:r>
        <w:rPr>
          <w:color w:val="000000"/>
          <w:sz w:val="24"/>
          <w:szCs w:val="24"/>
        </w:rPr>
        <w:br/>
        <w:t xml:space="preserve">A Rákóczi-szabadságharccal kapcsolatban keletkezett röplapok, pamfletek és hetilapok tömkelegéből kitűnik egy olasz nyelvű röpirat, amely az Intő manifesztum az 1704. évi Rákóczi Ferenc felkelésében résztvevő felbuzdított magyarok számára címet viseli, és kiválóan szemlélteti a császárpárti állásfoglalást. A dolgozatban bemutatott olasz nyelvű nyomtatvány ismeretlen szerzője a törvényes és jóságos Habsburg uralkodókat szembeállítja a „megbolondult” Rákóczival és „ennek az istenkáromló összeesküvésnek martalékává” vált nemességgel. A második fejezetben a magyar szakirodalomból már jól ismert Daniel Defoe hetilapjáról olvashatunk, amelyben eredetileg a spanyol örökösödési háborúval foglalkozik, érintve az azzal párhuzamosan zajló felkelést. A két forrásban ismertetett, a felkelés elenni vádakkal és érvekkel bepillantást nyerhetünk a korabeli közvélemény befolyásolásának eszköztárába. Ilyen például a múlt eseményeire, mint a Wesselényi- és Thököly-féle összeesküvésekre való utalás a felkelés esetében, az utóbbi esemény megemlítésével fenntartották az emberek emlékezetében a kereszténység elárulásának toposzát. Ezt párhuzamba állítják Rákóczi francia párti politikájával és az olvasók elé tárják az igazságot a francia király valós szándékáról is. A XVIII. század eleji függetlenségi törekvés szereplése a külföldi sajtóban azt mutatja, hogy befolyással bírt Európa nagyhatalmainak külpolitikájára.</w:t>
      </w:r>
      <w:r>
        <w:rPr>
          <w:color w:val="000000"/>
          <w:sz w:val="24"/>
          <w:szCs w:val="24"/>
        </w:rPr>
        <w:br/>
        <w:t xml:space="preserve">A XVII. század végi és a XVIII. század eleji magyar eseményekről szóló negatív hangvételű sajtótermékek száma jól tükrözi a hírekre való igényét a társadalom írni-olvasni tudó rétegeinek. Az információáramlás felgyorsulása következtében azonban a hamis hírek is teret nyertek, ahogyan ezt alá is támasztja a két forrás. A dolgozat elején a korabeli nyilvánosság színtereinek, a propaganda és a közvélemény fogalmának áttekintésével jobban megérthetjük az olasz és az angol szerző írásában rejlő véleményüket.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92262">
    <w:multiLevelType w:val="hybridMultilevel"/>
    <w:lvl w:ilvl="0" w:tplc="5813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92262">
    <w:abstractNumId w:val="70992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946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