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RUSZKAI</w:t>
            </w:r>
          </w:p>
          <w:p w:rsidR="00C275A3" w:rsidRDefault="00A96AEC" w:rsidP="00C275A3">
            <w:pPr>
              <w:pStyle w:val="Hallgatokepzes"/>
            </w:pPr>
            <w:r>
              <w:t>History</w:t>
            </w:r>
            <w:r>
              <w:br/>
            </w:r>
            <w:r w:rsidR="00E77B23">
              <w:t>MA,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Forgó</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Rakoczi Insurrection in English and Italian propaganda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independence-gaining efforts led by Wesselényi and Thököly has awakened high resonance in the period press at the end of the 17th century. This resonance has paved the way for the propaganda against the Rákóczi insurrection. The leaflets and articles dealing with the revolt were generally written in German or in English and they are widely known in the domestic literature. While the emperor's propaganda worked hard to denigrate II. Rákóczi Ferenc, in England, although they concerned for the situation of the Hungarian protestants, the revolt was not endorsed.</w:t>
      </w:r>
      <w:r>
        <w:rPr>
          <w:color w:val="000000"/>
          <w:sz w:val="24"/>
          <w:szCs w:val="24"/>
        </w:rPr>
        <w:br/>
        <w:t xml:space="preserve">Among the fliers, leaflets and journals there is one that stands out. It is a pamphlet in Italian, titled as “Warning manifest for the exhorted Hungarians participating in the Rákóczi Ferenc insurrection of 1704”. This excellently represents the imperialist resolution. The author of the leaflet assessed in the essay is unknown. He pits the lawful and benignant Habsburg emperors against the “insane” Rákóczi and the nobility that “has become the victim of this blasphemous conspiracy”. In the second chapter we can read about the journal of Daniel Defoe who is well-known in the Hungarian literature. In this journal he deals with the war of the Spanish Succession, mentioning the insurrection that took place at the same time. The accusations and arguments against the revolt in these sources gives us a glimpse into the accessory used for influencing the contemporary public opinion. It contains the references of the previous conspiracies led by Wesselényi and Thököly, the latter of which helped to maintain the issue of betraying Christianity. This is linked to the French-friendly politics of Rákóczi and the real intents of the French king is also revealed. The role of the independence-gaining efforts in the early 18th century as it is appeared in the foreign press indicates that it had an influence on the foreign affairs of the European countries.</w:t>
      </w:r>
      <w:r>
        <w:rPr>
          <w:color w:val="000000"/>
          <w:sz w:val="24"/>
          <w:szCs w:val="24"/>
        </w:rPr>
        <w:br/>
        <w:t xml:space="preserve">The sheer number of the critical, negative press releases in connection with the Hungarian events occurring in the late 17th and early 18th centuries reflects the need for news among the literate groups of the society. Due to the acceleration of the information flow false news were also circulating as it is confirmed by the two sources. At the beginning of the essay there is an overview of the contemporary platforms of publicity and the concept of propaganda and public opinion. This helps to understand the opinions of the Italian and English authors.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41509">
    <w:multiLevelType w:val="hybridMultilevel"/>
    <w:lvl w:ilvl="0" w:tplc="13191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41509">
    <w:abstractNumId w:val="59541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699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