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BARNABÁS PÁLINKÁS</w:t>
            </w:r>
          </w:p>
          <w:p w:rsidR="00C275A3" w:rsidRDefault="00A96AEC" w:rsidP="00C275A3">
            <w:pPr>
              <w:pStyle w:val="Hallgatokepzes"/>
            </w:pPr>
            <w:r>
              <w:t>History</w:t>
            </w:r>
            <w:r>
              <w:br/>
            </w:r>
            <w:r w:rsidR="00E77B23">
              <w:t>MA, 5.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Fejérdy Ph.D.</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“Imprint” of minorities Minorities in Hungary in the lithograph news of MTI 1920 – 1925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historical survey of minorities in the light of the news archive of MTI may seem a peculiar attempt, however, if we consider that the national news agency produced nearly forty thousand pages of news between 1920 and 1925, and that this period saw a branch becoming an internationally acclaimed media conglomerate, then the topic is put into an entirely new context. Trianon is the greatest dividing line in Hungarian history also in the viewpoint of minority policy, since all of a sudden a middle power with extremely heterogeneous national minorities turned into a small and almost homogeneous country with new challenges, new worries, and in a new situation.</w:t>
      </w:r>
      <w:r>
        <w:rPr>
          <w:color w:val="000000"/>
          <w:sz w:val="24"/>
          <w:szCs w:val="24"/>
        </w:rPr>
        <w:br/>
        <w:t xml:space="preserve">Examining considerable archival and news agency material, this study primarily focuses on national minorities portrayed and positioned in the news. The identity of minority groups, their loyalty to the state, their assimilation tendencies, governmental actions against, for, and over them, and the overall attitude of the Hungarian political system towards them are the main issues approached.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37417">
    <w:multiLevelType w:val="hybridMultilevel"/>
    <w:lvl w:ilvl="0" w:tplc="308615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37417">
    <w:abstractNumId w:val="693374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3208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