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BORBÉLY</w:t>
            </w:r>
          </w:p>
          <w:p w:rsidR="00C275A3" w:rsidRDefault="00A96AEC" w:rsidP="00C275A3">
            <w:pPr>
              <w:pStyle w:val="Hallgatokepzes"/>
            </w:pPr>
            <w:r>
              <w:t>Civil engineering</w:t>
            </w:r>
            <w:r>
              <w:br/>
            </w:r>
            <w:r w:rsidR="00E77B23">
              <w:t>BSc, 9.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GÁBOR KALINKA</w:t>
            </w:r>
          </w:p>
          <w:p w:rsidR="00DB4822" w:rsidRDefault="00C275A3" w:rsidP="004D7940">
            <w:pPr>
              <w:pStyle w:val="Hallgatokepzes"/>
            </w:pPr>
            <w:r>
              <w:t>Civil engineering</w:t>
            </w:r>
            <w:r w:rsidR="00A96AEC">
              <w:br/>
              <w:t>BSc,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Spisák</w:t>
            </w:r>
          </w:p>
          <w:p w:rsidR="00DB4822" w:rsidRDefault="00DB4822" w:rsidP="00E11062">
            <w:pPr>
              <w:pStyle w:val="Konzulensek"/>
            </w:pPr>
            <w:r w:rsidRPr="00DB4822">
              <w:t> research worker, DE MK Civil engineering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Pasta bridge structures' mechanical and statical examination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was intended to help us prepare the RECCS Spaghetti Bridge World Championships which will be held in 2013. Basis of the series of different Mechanical strength experiments, the construction had been found, which approaches the best the values, based on theoretical calculations by the standard deviation of results obtained.</w:t>
      </w:r>
    </w:p>
    <w:p>
      <w:pPr>
        <w:pBdr/>
        <w:spacing w:before="240" w:after="240" w:line="240" w:lineRule="auto"/>
        <w:ind w:left="0" w:right="0"/>
        <w:jc w:val="left"/>
      </w:pPr>
      <w:r>
        <w:rPr>
          <w:color w:val="000000"/>
          <w:sz w:val="24"/>
          <w:szCs w:val="24"/>
        </w:rPr>
        <w:t xml:space="preserve">During our research the best combination of raw material, binder and structural design had been found. We examined the relation of materials and adhesives, contacted individual schemes advantages and disadvantages.</w:t>
      </w:r>
    </w:p>
    <w:p>
      <w:pPr>
        <w:pBdr/>
        <w:spacing w:before="240" w:after="240" w:line="240" w:lineRule="auto"/>
        <w:ind w:left="0" w:right="0"/>
        <w:jc w:val="left"/>
      </w:pPr>
      <w:r>
        <w:rPr>
          <w:color w:val="000000"/>
          <w:sz w:val="24"/>
          <w:szCs w:val="24"/>
        </w:rPr>
        <w:t xml:space="preserve">In our study, more than 1,700 tests were carried out which provided relatively precise characterization of the elements of each dough properties and elastic characteristics (such as compressive and tensile strength).</w:t>
      </w:r>
    </w:p>
    <w:p>
      <w:pPr>
        <w:pBdr/>
        <w:spacing w:before="240" w:after="240" w:line="240" w:lineRule="auto"/>
        <w:ind w:left="0" w:right="0"/>
        <w:jc w:val="left"/>
      </w:pPr>
      <w:r>
        <w:rPr>
          <w:color w:val="000000"/>
          <w:sz w:val="24"/>
          <w:szCs w:val="24"/>
        </w:rPr>
        <w:t xml:space="preserve">To the appropriate connection of components, Henkel Loctite Hungary Kft sold by rapid glue and epoxy was tested on various criteria. The experiments showed the differences between the types that have helped in selecting the appropriate adhesive.</w:t>
      </w:r>
    </w:p>
    <w:p>
      <w:pPr>
        <w:pBdr/>
        <w:spacing w:before="240" w:after="240" w:line="240" w:lineRule="auto"/>
        <w:ind w:left="0" w:right="0"/>
        <w:jc w:val="left"/>
      </w:pPr>
      <w:r>
        <w:rPr>
          <w:color w:val="000000"/>
          <w:sz w:val="24"/>
          <w:szCs w:val="24"/>
        </w:rPr>
        <w:t xml:space="preserve">In our study, a total of eight structures were built. All of them were made by different design. With these models, we wanted to illustrate the differences of obtained results between the theory and practice. The experience we have gained since the championships and competitions shown that the calculations of practical data can be up to 40% worse, compared to the mechanical and finite element modelling programs.</w:t>
      </w:r>
    </w:p>
    <w:p>
      <w:pPr>
        <w:pBdr/>
        <w:spacing w:before="240" w:after="240" w:line="240" w:lineRule="auto"/>
        <w:ind w:left="0" w:right="0"/>
        <w:jc w:val="left"/>
      </w:pPr>
      <w:r>
        <w:rPr>
          <w:color w:val="000000"/>
          <w:sz w:val="24"/>
          <w:szCs w:val="24"/>
        </w:rPr>
        <w:t xml:space="preserve">These finding results and the experience gained on these tournaments could make us more successful on the further competitions.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11603">
    <w:multiLevelType w:val="hybridMultilevel"/>
    <w:lvl w:ilvl="0" w:tplc="21164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11603">
    <w:abstractNumId w:val="13211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177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