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KRISTÓF</w:t>
            </w:r>
          </w:p>
          <w:p w:rsidR="00C275A3" w:rsidRDefault="00A96AEC" w:rsidP="00C275A3">
            <w:pPr>
              <w:pStyle w:val="Hallgatokepzes"/>
            </w:pPr>
            <w:r>
              <w:t>Pénzügy Mesterszak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Rappai Gábor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GARCH modellek a pénzügyi kockázatok észlelésében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 ökonometriai módszertan alkalmazásával a részvénypiac 2008 őszén végbement zuhanását vizsgáljuk. Azt feltételezzük, hogy a GARCH regresszióra támaszkodó technikai elemzés, legalábbis rövid távon, előre jelezhette volna a buborék kidurranását, és a nagymértékű árfolyamesés bekövetkezését.  A makrogazdasági folyamatok leírása ezúttal csak annyiban fontos számunkra, hogy láthassuk: miképpen járult hozzá a kedvezőtlen makrogazdasági környezet a részvénypiaci árfolyamok tartós túlértékeltségéhez, majd végül a buborék kidurranásához.</w:t>
      </w:r>
      <w:r>
        <w:rPr>
          <w:color w:val="000000"/>
          <w:sz w:val="24"/>
          <w:szCs w:val="24"/>
        </w:rPr>
        <w:br/>
        <w:t xml:space="preserve">Ez után dolgozatunk második fejezetében elkészítjük a GARCH modellen alapuló technikai elemzésünket. Ez által olyan piaci körülmény azonosítására törekszünk, mely segítségével a részvénypiaci buborék 2008 őszén történt kidurranása előre jelezhető lett volna. E jellemző piaci körülmény feltárásában pedig olyan intuitív kockázati mértékre támaszkodunk, melyet a GARCH modell becsült paramétereinek felhasználásával kapunk. Ezt megelőzően, a másfejezet során bemutatjuk az autoregresszív feltételes heteroszkedaszticitású modell (autoregressive conditional heteroscedasticity) felépítéséhez, koncepciójának megértéshez szükséges alapfogalmakat. Ez után, a pénzügyi idősorok jellemző tulajdonságait vizsgálva, eljutunk a feltételes heteroszkedaszticitás fogalmáig. Miután megismerkedtünk a pénzügyi idősorok jellegzetességeivel, megállapítjuk, hogy a GARCH modell elemzésünk alkalmas eszköze lehet. Előbb az ARCH alapmodellt definiáljuk, majd ez után írjuk le annak általánosított változatát (GARCH).</w:t>
      </w:r>
      <w:r>
        <w:rPr>
          <w:color w:val="000000"/>
          <w:sz w:val="24"/>
          <w:szCs w:val="24"/>
        </w:rPr>
        <w:br/>
        <w:t xml:space="preserve">Mivel technikai elemzésünkben a 2008 őszén bekövetkezett strukturális törés előjeleit szeretnénk feltárni, ezért a gördülő regresszió (rolling regression) technikáját alkalmazva igyekszünk bizonyos fokig reflektálni a rezsimváltó modellek következtetéseire. Technikai elemzésünk eredményét értelemszerűen grafikonokon ábrázoljuk. </w:t>
      </w:r>
      <w:r>
        <w:rPr>
          <w:color w:val="000000"/>
          <w:sz w:val="24"/>
          <w:szCs w:val="24"/>
        </w:rPr>
        <w:br/>
        <w:t xml:space="preserve">Ugyanakkor, mivel dolgozatunkban elsődlegesen a szakmaiság szempontját igyekszünk szem előtt tartani, rámutatunk elemzésünk ellentmondásaira is. Ezzel összhangban dolgozatunkat kitekintéssel zárjuk, ahol az ökonometriai modellekre épülő kockázatmenedzsment határait, kihívásait igyekszünk felvázolni.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70872">
    <w:multiLevelType w:val="hybridMultilevel"/>
    <w:lvl w:ilvl="0" w:tplc="75412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70872">
    <w:abstractNumId w:val="42870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33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