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HAFFNER</w:t>
            </w:r>
          </w:p>
          <w:p w:rsidR="00C275A3" w:rsidRDefault="00A96AEC" w:rsidP="00C275A3">
            <w:pPr>
              <w:pStyle w:val="Hallgatokepzes"/>
            </w:pPr>
            <w:r>
              <w:t>Economic analyzer</w:t>
            </w:r>
            <w:r>
              <w:br/>
            </w:r>
            <w:r w:rsidR="00E77B23">
              <w:t>MA,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Kaposi Dr. D. Sc</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Aspects and challenges of community energy policy – potentials of using renewable energy resources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1950s, energy policy has become one of the most important strategic issues of the nation-states, while the world has been divided into energy importer and energy exporter countries due to the unequal distribution of fossil energy resources. Beside from creating a common market and later on an economic union, the EEC (European Economic Community) started to become a political union of European countries with the aim of establishing their economic, social and regional cohesion while retaining their cultural and linguistic diversity. In order to establish the cohesion, the EEC created different policies to progressively deepen the integration of the given area. Energy policy is one of the 24 policies of the Union whose foundations were laid by the former countries before the beginning of the integration. However, due to its important role in national economy and national security it has become one of the most slowly developing and fragile fields of the integration. The objective of this study is to demonstrate the development, the changes and challenges of one of the policies of the European Community, later the European Union, i. e. the energy policy, starting from the time of the integration until nowadays. Other than the presentation of the EU policy, the study also analyses the structures, the importance and the changes in the application of the energy resources produced and used by the European Union, with special attention to the changes and advancement of the past 20 years. Through Hungary’s example, the development of the energy policies of the post-Soviet countries that accessed the European Union in 2007 and in 2007, are presented. Also are demonstrated the endeavours in order to decrease the Russian energy dependence, as well as the process to conform the EU policy, and the exams of the roles of the various and similar to the EU energy resources. The examination of this subject cannot be more current, since the Fukusima nuclear power plant accident in the spring of 2011 in several EU countries, especially in Germany induced major changes in terms of judging about nuclear energy. The accident and its social and political responses approved the capital significance of the usage of renewable energies described in the Europe2020 strategy. In this term this study highlights with special regards the application possibilities of the renewable energies, and presents several already implemented and currently ongoing EU and Hungarian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68617">
    <w:multiLevelType w:val="hybridMultilevel"/>
    <w:lvl w:ilvl="0" w:tplc="96658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68617">
    <w:abstractNumId w:val="22868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334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