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POZSONYI</w:t>
            </w:r>
          </w:p>
          <w:p w:rsidR="00C275A3" w:rsidRDefault="00A96AEC" w:rsidP="00C275A3">
            <w:pPr>
              <w:pStyle w:val="Hallgatokepzes"/>
            </w:pPr>
            <w:r>
              <w:t>Marketing</w:t>
            </w:r>
            <w:r>
              <w:br/>
            </w:r>
            <w:r w:rsidR="00E77B23">
              <w:t>MA,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Nagy</w:t>
            </w:r>
          </w:p>
          <w:p w:rsidR="00DB4822" w:rsidRDefault="00DB4822" w:rsidP="00E11062">
            <w:pPr>
              <w:pStyle w:val="Konzulensek"/>
            </w:pPr>
            <w:r w:rsidRPr="00DB4822">
              <w:t>professor’s assistant,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factors of advertising effect in print media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is to define the factors that are influencing advertising effectiveness in the print media. This study reveals the most important factors and the relationship between these and the advertising effectiveness. The purpose of this study is to create a model which measures the effectiveness of advertising and the importance of the various factors in that.</w:t>
      </w:r>
    </w:p>
    <w:p>
      <w:pPr>
        <w:pBdr/>
        <w:spacing w:before="240" w:after="240" w:line="240" w:lineRule="auto"/>
        <w:ind w:left="0" w:right="0"/>
        <w:jc w:val="left"/>
      </w:pPr>
      <w:r>
        <w:rPr>
          <w:color w:val="000000"/>
          <w:sz w:val="24"/>
          <w:szCs w:val="24"/>
        </w:rPr>
        <w:t xml:space="preserve">The research is based on online questionnaires. To define the main topics of the questionnaire I conducted seven in-depth interviews. Based on the results of these interviews I created multi-item scales which can measure the advertising effectiveness and its influence factors. The scales were tested on two different advertisements and samples. Based on the results I examined the reliability of the scales and the relationship between the items using statistical methods.</w:t>
      </w:r>
    </w:p>
    <w:p>
      <w:pPr>
        <w:pBdr/>
        <w:spacing w:before="240" w:after="240" w:line="240" w:lineRule="auto"/>
        <w:ind w:left="0" w:right="0"/>
        <w:jc w:val="left"/>
      </w:pPr>
      <w:r>
        <w:rPr>
          <w:color w:val="000000"/>
          <w:sz w:val="24"/>
          <w:szCs w:val="24"/>
        </w:rPr>
        <w:t xml:space="preserve">The final conclusion is that the impact of the various factors is varying advertisement by advertisement and sample by sample. The research proves that the scales are reliable; therefore different kinds of print advertisements are measurable. For the research I used small sample, which is not representative. To draw a general conclusion it is necessary to ensure representativeness.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02136">
    <w:multiLevelType w:val="hybridMultilevel"/>
    <w:lvl w:ilvl="0" w:tplc="9311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02136">
    <w:abstractNumId w:val="31802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774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