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SZABINA BODNÁR</w:t>
            </w:r>
          </w:p>
          <w:p w:rsidR="00C275A3" w:rsidRDefault="00A96AEC" w:rsidP="00C275A3">
            <w:pPr>
              <w:pStyle w:val="Hallgatokepzes"/>
            </w:pPr>
            <w:r>
              <w:t>Finance</w:t>
            </w:r>
            <w:r>
              <w:br/>
            </w:r>
            <w:r w:rsidR="00E77B23">
              <w:t>MSc,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Business and Economics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ANIKÓ KISS</w:t>
            </w:r>
          </w:p>
          <w:p w:rsidR="00DB4822" w:rsidRDefault="00C275A3" w:rsidP="004D7940">
            <w:pPr>
              <w:pStyle w:val="Hallgatokepzes"/>
            </w:pPr>
            <w:r>
              <w:t>Commerce and marketing</w:t>
            </w:r>
            <w:r w:rsidR="00A96AEC">
              <w:br/>
              <w:t>BA, 7.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Pécs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Business and Economics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Ákos Jarjabka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Revitalization of the South-Transdanubian Cultural Industy Cluster Through the Developement of the Service Portfolio 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our study we prepared the revitalization of the South-Transdanubian Cultural Industry Cluster. Assessment of the current state of the cluster members a survey was performed, which revealed a comprehensive analysis of their past, present and future motivations. Next, we analysed the relations within the cluster system, and we found that co-operation is essentially based on professional trust, thus creating a good basis for common cluster-wide services and product development. Then we complied and systematized the services provided by members, which is a good starting point for the cluster product development.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773237">
    <w:multiLevelType w:val="hybridMultilevel"/>
    <w:lvl w:ilvl="0" w:tplc="310060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773237">
    <w:abstractNumId w:val="297732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2974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