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DENICH ERVIN</w:t>
            </w:r>
          </w:p>
          <w:p w:rsidR="00C275A3" w:rsidRDefault="00A96AEC" w:rsidP="00C275A3">
            <w:pPr>
              <w:pStyle w:val="Hallgatokepzes"/>
            </w:pPr>
            <w:r>
              <w:t>Pénzügy</w:t>
            </w:r>
            <w:r>
              <w:br/>
            </w:r>
            <w:r w:rsidR="00E77B23">
              <w:t>MA, 2.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Kuti Mónika</w:t>
            </w:r>
          </w:p>
          <w:p w:rsidR="00DB4822" w:rsidRDefault="00DB4822" w:rsidP="00E11062">
            <w:pPr>
              <w:pStyle w:val="Konzulensek"/>
            </w:pPr>
            <w:r w:rsidRPr="00DB4822">
              <w:t>egyetemi 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CFaR modell alkalmazása nyolc autóipari cégre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válság még az autóipart sem kímélte, jelentős vállalatbezárásokat hagyott maga után. Ezért jelen tanulmányban fontosnak éreztem annak vizsgálatát, hogy milyen befolyásoló hatások figyelhetők meg a vállalatok működésében. A dolgozatban az ERM, mint vállalati kockázatkezelés témakörébe tartozó CFaR kockázatkezelési megközelítés közül az EBITDA volatilitását, illetve eloszlását vizsgáltam. Már magát az EBITDA-t is számos tényező befolyásolja, mely hozzájárul az EBITDA jelentős mértékű ingadozásához. Az eloszlás meghatározásához a sztochasztikus Monte Carlo szimulációt alkalmaztam. Dolgozatom céljaként igyekszem megvizsgálni, hogy nyolc autóipari vállalatnál hogyan alakultak a bevételek és költségek, melyek hatással voltak az EBIT nagyságára, és ezen keresztül az EBITDA nagyságára is. Úgy érzem, hogy a mai világban elkerülhetetlen annak vizsgálata, hogy mekkora cash szükséglettel illetve cash többlettel rendelkezik a cég ahhoz, hogy a jövőben is fenn tudjon maradni, és értéket teremteni. Az elemzésből levonható következtetés, hogy az autóipari vállalatok egy része csőd közeli állapotból lábal ki, így előfordul, hogy nagyobb cash szükséglettel rendelkezik, mint cash tartalékkal. Számukra jó megoldás a költségek csökkentése lenne, ezen belül is először a K+F költségeket, majd a CAPEX-et, osztalékot, végül a hiteleket kellene csökkenteni a jövőbeli fennmaradás és növekedés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85145">
    <w:multiLevelType w:val="hybridMultilevel"/>
    <w:lvl w:ilvl="0" w:tplc="48786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85145">
    <w:abstractNumId w:val="16485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85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