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KÓSZÓ</w:t>
            </w:r>
          </w:p>
          <w:p w:rsidR="00C275A3" w:rsidRDefault="00A96AEC" w:rsidP="00C275A3">
            <w:pPr>
              <w:pStyle w:val="Hallgatokepzes"/>
            </w:pPr>
            <w:r>
              <w:t>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Mészáros D.Sc.</w:t>
            </w:r>
          </w:p>
          <w:p w:rsidR="00DB4822" w:rsidRDefault="00DB4822" w:rsidP="00E11062">
            <w:pPr>
              <w:pStyle w:val="Konzulensek"/>
            </w:pPr>
            <w:r w:rsidRPr="00DB4822">
              <w:t>associate professor, SZTE MGK</w:t>
            </w:r>
          </w:p>
        </w:tc>
      </w:tr>
      <w:tr w:rsidR="00DB4822" w:rsidTr="00DB4822">
        <w:tc>
          <w:tcPr>
            <w:tcW w:w="9854" w:type="dxa"/>
          </w:tcPr>
          <w:p w:rsidR="00DB4822" w:rsidRPr="00DB4822" w:rsidRDefault="00DB4822" w:rsidP="004D7940">
            <w:pPr>
              <w:pStyle w:val="Konzulensek"/>
            </w:pPr>
            <w:r w:rsidRPr="00DB4822">
              <w:t>János Pauk D.Sc.</w:t>
            </w:r>
          </w:p>
          <w:p w:rsidR="00DB4822" w:rsidRDefault="00DB4822" w:rsidP="00E11062">
            <w:pPr>
              <w:pStyle w:val="Konzulensek"/>
            </w:pPr>
            <w:r w:rsidRPr="00DB4822">
              <w:t>senior research fellow,  Cereal Research Non-Profit Company</w:t>
            </w:r>
          </w:p>
        </w:tc>
      </w:tr>
      <w:tr w:rsidR="00DB4822" w:rsidTr="00DB4822">
        <w:tc>
          <w:tcPr>
            <w:tcW w:w="9854" w:type="dxa"/>
          </w:tcPr>
          <w:p w:rsidR="00DB4822" w:rsidRPr="00DB4822" w:rsidRDefault="00DB4822" w:rsidP="004D7940">
            <w:pPr>
              <w:pStyle w:val="Konzulensek"/>
            </w:pPr>
            <w:r w:rsidRPr="00DB4822">
              <w:t>Tamás Monostori D.Sc.</w:t>
            </w:r>
          </w:p>
          <w:p w:rsidR="00DB4822" w:rsidRDefault="00DB4822" w:rsidP="00E11062">
            <w:pPr>
              <w:pStyle w:val="Konzulensek"/>
            </w:pPr>
            <w:r w:rsidRPr="00DB4822">
              <w:t>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vitro propagation of virus-free potato production and field testing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country the success of potato production in the field is largery determined by a number of factors such as the viral degradation of the stock. In the course of Scientific Student Work we were testing the conditions of virus-free potato crop propagation by biotechnology-based methods, with the application of 'Pannonia' and 'Hópehely' varieties.</w:t>
      </w:r>
      <w:r>
        <w:rPr>
          <w:color w:val="000000"/>
          <w:sz w:val="24"/>
          <w:szCs w:val="24"/>
        </w:rPr>
        <w:br/>
        <w:t xml:space="preserve">During in vitro experiments we have successfully established shoot culture and produced in vitro tubers from meristems of tubers of the two potato varieties. In the course of greenhouse experiments using the primary production of in vitro shoot cultures and microtubers we prepared the first generation (primary) potato seeds. In our field experiments we tested propagation material of laboratory origin and the characteristic features (yield, diameter, weight of tubers) of the plants derived from them under natural conditions. After the statistical analysis of the data, that we got following the harvest, we found no significant difference between the types of propagation material (pimary and traditional) considering the yield and diameter of tubers produced in the field. However, in the view of the weight of tubers, better results were given by the propagation material from traditional crops, that was significantly confirmed. However, in the competition the plants of primary tuber origin are equal partners of the plants of traditional tuber origin in the case of cultivation.</w:t>
      </w:r>
      <w:r>
        <w:rPr>
          <w:color w:val="000000"/>
          <w:sz w:val="24"/>
          <w:szCs w:val="24"/>
        </w:rPr>
        <w:br/>
        <w:t xml:space="preserve">We considered seeking the opinion of the producers as well as assessing their knowledge about this issue very important. Following the evaluation of the questionnaires received from the growers we found that many farmers still do not have enterely complete knowledge about varieties, and are not aware of the importance of certified seeds. The majority of farmers have doubts related to the tubers of in vitro origin, since many of them think that tubers of biotechnology origin are genetically engineered.</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03788">
    <w:multiLevelType w:val="hybridMultilevel"/>
    <w:lvl w:ilvl="0" w:tplc="56740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03788">
    <w:abstractNumId w:val="46803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045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