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DOLNEGÓ BÁLINT</w:t>
            </w:r>
          </w:p>
          <w:p w:rsidR="00C275A3" w:rsidRDefault="00A96AEC" w:rsidP="00C275A3">
            <w:pPr>
              <w:pStyle w:val="Hallgatokepzes"/>
            </w:pPr>
            <w:r>
              <w:t>sportmenedzser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amatőr labdarúgó játékvezetők az UEFA szituációelemző tesztjén elért eredményeinek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játékvezetők, UEFA oktatási segédanyag, játékszabályok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labdarúgásban, mint globális sportágban fontos a játékszabályok egységes alkalmazása minden osztályban. Az UEFA minden évben elkészíti a hivatalos oktatási segédanyagát, amelynek egyik részében ajánlásokat tesz többek között a párharcok megítélésre, együttműködésre, stb. Jelen kutatásunk során a hivatalos, UEFA által készített DVD segédanyagot használtuk. Vizsgálatunkban arra voltunk kíváncsiak, hogy az amatőr – megyei - bajnokságokban működő játékvezetők hogyan ítélik meg az egyes szituációkat.</w:t>
      </w:r>
      <w:r>
        <w:rPr>
          <w:color w:val="000000"/>
          <w:sz w:val="24"/>
          <w:szCs w:val="24"/>
        </w:rPr>
        <w:br/>
        <w:t xml:space="preserve">A kutatási témánk Carlo Castagna (1999, 2001, 2002, 2003), Stefano D’Ottavio (2001), illetve a korábban magunk által készített (2006, 2008, 2012) vizsgálatokra alapszik, amelyekben a játékvezetők szakmai felkészültsége, valamint a labdarúgók szabályismerete volt a központi téma.</w:t>
      </w:r>
      <w:r>
        <w:rPr>
          <w:color w:val="000000"/>
          <w:sz w:val="24"/>
          <w:szCs w:val="24"/>
        </w:rPr>
        <w:br/>
        <w:t xml:space="preserve">Kutatásunk előtt feltételeztük, hogy a magasabb kerettagsággal rendelkező játékvezetők magasabb pontszámot érnek el az UEFA teszten. Feltételeztük, hogy a teszten elért eredményt nem befolyásolja a játékvezetők labdarúgó múltja, továbbá feltételeztük, hogy a játékvezetők és az asszisztensek egyforma helyességgel ítélik meg az egyes szituációkat.</w:t>
      </w:r>
      <w:r>
        <w:rPr>
          <w:color w:val="000000"/>
          <w:sz w:val="24"/>
          <w:szCs w:val="24"/>
        </w:rPr>
        <w:br/>
        <w:t xml:space="preserve">A nem reprezentatív vizsgálati minta nagysága N=563. A vizsgálati minta kiválasztása nem valószínűségi, csoportos mintavétellel történt. A teszt során (amely minden tekintetben megfelelt az elsődleges tesztkritériumoknak), anamnézis formájában vizsgáltuk a játékvezetők egyes szociográfiai változóit is. A vizsgálat során kapott eredményeink statisztikai feldolgozásához a Statistica for Windows 10. verzióját használtuk (Stat-Soft Inc., 2012). A csoportok közötti különbségek kiszámításához Chi-négyzet próbát alkalmaztunk, a szignifikancia szintet 5%-on határoztuk meg.</w:t>
      </w:r>
      <w:r>
        <w:rPr>
          <w:color w:val="000000"/>
          <w:sz w:val="24"/>
          <w:szCs w:val="24"/>
        </w:rPr>
        <w:br/>
        <w:t xml:space="preserve">A vizsgálat során mindegyik hipotézisünk beigazolódott. A magasabb kerettagsággal rendelkező játékvezetők jobban teljesítettek a teszten az alacsonyabb kategóriájú kollégáiknál. Megállapítottuk, hogy a labdarúgó múlttal rendelkező játékvezetők nem értek el statisztikailag kimutathatóan jobb eredményt. A vizsgálat során a játékvezetők és az asszisztensek teljesítménye között szignifikáns nem mutatható ki.</w:t>
      </w:r>
      <w:r>
        <w:rPr>
          <w:color w:val="000000"/>
          <w:sz w:val="24"/>
          <w:szCs w:val="24"/>
        </w:rPr>
        <w:br/>
        <w:t xml:space="preserve">A játékvezető-képzés lényeges szegmense a mérkőzésszituációk helyes megítélése. Fontos, hogy az amatőr bajnokságokban működő játékvezetők is helyesen és egységesen működjenek közre a mérkőzéseken. Ezért célunk, hogy további változókat figyelembe véve, az országos kerettel kiegészítve folytassuk a vizsgálatunkat.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63490">
    <w:multiLevelType w:val="hybridMultilevel"/>
    <w:lvl w:ilvl="0" w:tplc="30904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63490">
    <w:abstractNumId w:val="90463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215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