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HEGYI ANDRÁS</w:t>
            </w:r>
          </w:p>
          <w:p w:rsidR="00C275A3" w:rsidRDefault="00A96AEC" w:rsidP="00C275A3">
            <w:pPr>
              <w:pStyle w:val="Hallgatokepzes"/>
            </w:pPr>
            <w:r>
              <w:t>Humánkineziológia</w:t>
            </w:r>
            <w:r>
              <w:br/>
            </w:r>
            <w:r w:rsidR="00E77B23">
              <w:t>MSc, 3. félév</w:t>
            </w:r>
          </w:p>
          <w:p w:rsidR="00C265CE" w:rsidRPr="009E5FF1" w:rsidRDefault="00E77B23" w:rsidP="00C275A3">
            <w:pPr>
              <w:pStyle w:val="Hallgatokepzes"/>
              <w:rPr>
                <w:b/>
                <w:caps/>
              </w:rPr>
            </w:pPr>
            <w:r>
              <w:t>Semmelweis Egyetem</w:t>
            </w:r>
            <w:r w:rsidR="00C275A3">
              <w:br/>
            </w:r>
            <w:r w:rsidR="00DB4822">
              <w:t>Testnevelési és Sporttudományi Kar</w:t>
            </w:r>
          </w:p>
        </w:tc>
        <w:tc>
          <w:tcPr>
            <w:tcW w:w="4914" w:type="dxa"/>
          </w:tcPr>
          <w:p w:rsidR="00DB4822" w:rsidRPr="00DB4822" w:rsidRDefault="00DB4822" w:rsidP="004D7940">
            <w:pPr>
              <w:pStyle w:val="Hallgatonev"/>
              <w:rPr>
                <w:caps/>
              </w:rPr>
            </w:pPr>
            <w:r w:rsidRPr="00DB4822">
              <w:rPr>
                <w:caps/>
              </w:rPr>
              <w:t>PÉTER ANNAMÁRIA</w:t>
            </w:r>
          </w:p>
          <w:p w:rsidR="00DB4822" w:rsidRDefault="00C275A3" w:rsidP="004D7940">
            <w:pPr>
              <w:pStyle w:val="Hallgatokepzes"/>
            </w:pPr>
            <w:r>
              <w:t>Humánkineziológia</w:t>
            </w:r>
            <w:r w:rsidR="00A96AEC">
              <w:br/>
              <w:t>MSc, 3. félév</w:t>
            </w:r>
          </w:p>
          <w:p w:rsidR="00DB4822" w:rsidRDefault="00DB4822" w:rsidP="004D7940">
            <w:pPr>
              <w:pStyle w:val="Hallgatointezmeny-kar"/>
            </w:pPr>
            <w:r>
              <w:t>Semmelweis Egyetem</w:t>
            </w:r>
          </w:p>
          <w:p w:rsidR="00C265CE" w:rsidRPr="009E5FF1" w:rsidRDefault="00DB4822" w:rsidP="004D7940">
            <w:pPr>
              <w:pStyle w:val="Hallgatointezmeny-kar"/>
              <w:rPr>
                <w:b/>
                <w:caps/>
              </w:rPr>
            </w:pPr>
            <w:r>
              <w:t>Testnevelési és Sporttudományi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Tihanyi József</w:t>
            </w:r>
          </w:p>
          <w:p w:rsidR="00DB4822" w:rsidRDefault="00DB4822" w:rsidP="00E11062">
            <w:pPr>
              <w:pStyle w:val="Konzulensek"/>
            </w:pPr>
            <w:r w:rsidRPr="00DB4822">
              <w:t>egyetemi tanár,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Felső végtagi vibráció alkalmazása stroke-on átesett személyek rehabilitációjában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Bevezetés. A stroke-os betegek neuromuszkuláris problémáinak és izomegyensúlyának helyreállításában az egyik legújabb módszer a vibráció alkalmazása. Az eddigi vizsgálatok során teljes test vibrációt alkalmaztak a kutatók, amely a térdfeszítők erejének szignifikáns növekedését eredményezte. Felmerül a kérdés, hogy a felső végtag izmainak vibrációja hasonló változásokat okoz-e a markolóerőben és annak kivitelezésében, valamint a felső végtag koordinációjában. Kérdésként merült fel továbbá, hogy a vibrációs terhelés ideje hogyan befolyásolja az akut hatást.</w:t>
      </w:r>
    </w:p>
    <w:p>
      <w:pPr>
        <w:pBdr/>
        <w:spacing w:before="240" w:after="240" w:line="240" w:lineRule="auto"/>
        <w:ind w:left="0" w:right="0"/>
        <w:jc w:val="left"/>
      </w:pPr>
      <w:r>
        <w:rPr>
          <w:color w:val="000000"/>
          <w:sz w:val="24"/>
          <w:szCs w:val="24"/>
        </w:rPr>
        <w:t xml:space="preserve">Hipotézisek. Feltételezzük, hogy a vibráció idejének különböző akut hatása van a vizsgált személyek (VSZ) (a) kezének és (b) ujjainak szorítóerejében és annak szabályozási képességében, (c) a felső végtag koordinációjában.</w:t>
      </w:r>
    </w:p>
    <w:p>
      <w:pPr>
        <w:pBdr/>
        <w:spacing w:before="240" w:after="240" w:line="240" w:lineRule="auto"/>
        <w:ind w:left="0" w:right="0"/>
        <w:jc w:val="left"/>
      </w:pPr>
      <w:r>
        <w:rPr>
          <w:color w:val="000000"/>
          <w:sz w:val="24"/>
          <w:szCs w:val="24"/>
        </w:rPr>
        <w:t xml:space="preserve">Vizsgálati módszerek. Vizsgálatunkban 15 stroke-on átesett személy vett részt, akiket három csoportba osztottunk: fél perces- (1/2V), 1 perces vibrációs (1V) és kontroll (K). A páciensek a vibrációs eszközt ülő helyzetben, az érintett oldali kézben fogták. A vibrációs terhelés 6x30 mp-ig, illetve 6x60 mp-ig tartott fél illetve egy perces pihenőkkel. A kontroll csoport vibráció nélkül tartotta kezében az eszközt. A vibráció előtt és a vibráció után megmértük a kéz maximális szorító erejét (Fmax), dinamikáját (RFD), a kézujjak maximális erejét, illetve az erőkifejtés finom beállítását. A mozgáskoordináció vizsgálatánál a VSZ egy meghatározott helyről egy másik, adott helyre kellett egymás után 10-szer áthelyezni egy bögrét. A felső végtag ízületeinek és a mozgás végpontjának varianciáját, és a m. deltoideus elülső (EMGda) és hátulsó (EMGdp) fejének, valamint a biceps brachii (EMGbi) és triceps brachii (EMGtr) izmok elektromos aktivitását ZEBRIS mozgáselemző rendszerrel vizsgáltuk. Az adatok feldolgozását elemzését MATLAB illetve Statistica 11 programokkal végeztük.</w:t>
      </w:r>
    </w:p>
    <w:p>
      <w:pPr>
        <w:pBdr/>
        <w:spacing w:before="240" w:after="240" w:line="240" w:lineRule="auto"/>
        <w:ind w:left="0" w:right="0"/>
        <w:jc w:val="left"/>
      </w:pPr>
      <w:r>
        <w:rPr>
          <w:color w:val="000000"/>
          <w:sz w:val="24"/>
          <w:szCs w:val="24"/>
        </w:rPr>
        <w:t xml:space="preserve">Eredmények. A 1/2V csoportban az Fmax és RFD szignifikánsan (p&lt;0,05) növekedett (28,3 és 89,0%). Az 1V és K csoportokban egyik erőmutató sem változott szignifikánsan, és nem találtunk jelentős változást a mozgáskoordinációs mutatókban sem. Az EMGda, EMGdp, EMGbi, és EMGtr nem változott vibráció hatására.</w:t>
      </w:r>
    </w:p>
    <w:p>
      <w:pPr>
        <w:pBdr/>
        <w:spacing w:before="240" w:after="240" w:line="240" w:lineRule="auto"/>
        <w:ind w:left="0" w:right="0"/>
        <w:jc w:val="left"/>
      </w:pPr>
      <w:r>
        <w:rPr>
          <w:color w:val="000000"/>
          <w:sz w:val="24"/>
          <w:szCs w:val="24"/>
        </w:rPr>
        <w:t xml:space="preserve">Összefoglalás. Vizsgálati eredményeink azt mutatják, hogy a kézre irányított vibráció akut hatásának időtartambeli feltételei vannak. Úgy tűnik, hogy az egyperces ismételt vibráció fáradást idéz elő az érintett oldali felső végtagi izmokban.A 6x félperces vibráció alkalmazása ugyanakkor optimálisnak tűnik a rehabilitációban.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331426">
    <w:multiLevelType w:val="hybridMultilevel"/>
    <w:lvl w:ilvl="0" w:tplc="144241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331426">
    <w:abstractNumId w:val="343314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9364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