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GÁBOR</w:t>
            </w:r>
          </w:p>
          <w:p w:rsidR="00C275A3" w:rsidRDefault="00A96AEC" w:rsidP="00C275A3">
            <w:pPr>
              <w:pStyle w:val="Hallgatokepzes"/>
            </w:pPr>
            <w:r>
              <w:t>Humánkineziológia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SCHUTH GÁBOR</w:t>
            </w:r>
          </w:p>
          <w:p w:rsidR="00DB4822" w:rsidRDefault="00C275A3" w:rsidP="004D7940">
            <w:pPr>
              <w:pStyle w:val="Hallgatokepzes"/>
            </w:pPr>
            <w:r>
              <w:t>Humánkineziológia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Testnevelési és Sporttudományi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Tihanyi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Excentrikus térdhajlító edzés hatása 10-11 éves leány kézilabdások hagyományos és funkcionális TH/TF arányára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 A különböző leugrási magasságokból végrehajtott mélybeugrásoknál a magasság növelésével nőknél nőtt a térdfeszítők (TF) aktivitása, de a térdhajlítóké (TH) nem, így növekedhetett az elülső keresztszalag (ACL) terhelése (Ford 2011). Westin és mtsai. (2006) szerint a sportoló lányok TH csúcsnyomatéka 11 éves kor után nem nő szignifikánsan, ezért már ebben a korban szükséges a TH specifikus erősítése.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Hipotézisek: Az irodalmi adatok alapján feltételezzük, hogy 10 hetes excentrikus TH edzés hatására a hagyományos és funkcionális TH/TF arány növekedni fog.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módszerek: 22, 10-11 éves kézilabdás lánynál mértük Multicont II. dinamométer segítségével a TH excentrikus (EC) csúcsnyomatékát 60 °/s-os, valamint a TH és a TF koncentrikus (CC) csúcsnyomatékát 60 és 180 °/s-os szögsebességen. Ezen adatokból meghatároztuk a funkcionális TH/TF arányt 60 °/s-on, illetve a hagyományos TH/TF arányt 60 és 180 °/s-on. Az egyes változókat mindkét lábra meghatároztuk. Továbbá kontaktszőnyeg segítségével karlendítés nélkül CMJ ugrás közben mértük a felugrási magasságot. A felmérés után a gyermekeket véletlenszerűen két csoportba osztottuk: az edző (EC, 13 fő, 5,42±0,95 éve kézilabdázik) hetente kétszer progresszív, saját testsúlyos, excentrikus TH erősítő gyakorlatot végzett a kézilabda edzés mellett, a kontroll csoport (KO, 9 fő, 3,56±1,01 éve kézilabdázik) a kézilabda edzését végezte csak. 10 hét elteltével ismét felmértük az említett változókat.</w:t>
      </w:r>
      <w:r>
        <w:rPr>
          <w:color w:val="000000"/>
          <w:sz w:val="24"/>
          <w:szCs w:val="24"/>
        </w:rPr>
        <w:br/>
        <w:t xml:space="preserve">Eredmények: A 10 hét elteltével mindkét csoportban szignifikáns növekedést találtuk a 60 °/s-os EC TH csúcsnyomatékban, valamint az EC csoportban 60 és 180 °/s-os CC TF és 180 °/s-on a TH csúcsnyomatékban (p≤0,05) . A TH/TF arányok esetében csak a KO csoportban a jobb lábban 60 °/s-on számított funkcionális TH/TF-ben találtunk szignifikáns növekedést (p≤0,05). A két csoport fejlődése között nem találtunk szignifikáns különbséget. A CMJ felugrási magasság az EC csoportban szignifikánsan nőtt (18,25±2,29 cm→22,48±2,64 cm, p≤0,001).</w:t>
      </w:r>
      <w:r>
        <w:rPr>
          <w:color w:val="000000"/>
          <w:sz w:val="24"/>
          <w:szCs w:val="24"/>
        </w:rPr>
        <w:br/>
        <w:t xml:space="preserve">Összefoglalás: A 10 hetes vizsgálati időszak első fele a tiszta felkészülési időszakra esett, így feltételezhető, hogy ennek következtében emelkedtek a csúcsnyomatékok a kontroll csoportban is. A forgatónyomaték növekedés csak a vizsgálati csoportban vezetett javuláshoz sokízületi mozgás (CMJ felugrás) során. Kraemer és Fleck (2005) szerint gyermekeknél minimum 20-30 hetes erőfejlesztő programokra van szükség a hosszabb adaptációs idő miatt, így vizsgálatunkat újabb 10 hétig folytatjuk.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20768">
    <w:multiLevelType w:val="hybridMultilevel"/>
    <w:lvl w:ilvl="0" w:tplc="27194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20768">
    <w:abstractNumId w:val="93520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123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