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MRAVCSIK</w:t>
            </w:r>
          </w:p>
          <w:p w:rsidR="00C275A3" w:rsidRDefault="00A96AEC" w:rsidP="00C275A3">
            <w:pPr>
              <w:pStyle w:val="Hallgatokepzes"/>
            </w:pPr>
            <w:r>
              <w:t>Human kinesiology</w:t>
            </w:r>
            <w:r>
              <w:br/>
            </w:r>
            <w:r w:rsidR="00E77B23">
              <w:t>MSc, 6.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Laczkó</w:t>
            </w:r>
          </w:p>
          <w:p w:rsidR="00DB4822" w:rsidRDefault="00DB4822" w:rsidP="00E11062">
            <w:pPr>
              <w:pStyle w:val="Konzulensek"/>
            </w:pPr>
            <w:r w:rsidRPr="00DB4822">
              <w:t>associate professor,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Dependence of muscle activity patterns on crank resistance during upper limb cycling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 The analysis of healthy movements is the basis of functional electronic stimulation (FES) patterns applied in medical rehabilitation, since healthy movements planned to be imitated, if someone – due to nervous system injury – cannot generate muscle forces voluntarily. Patterns for cycling lower limb movements were given previously as for upper limb I share my recommendation in this work.</w:t>
      </w:r>
    </w:p>
    <w:p>
      <w:pPr>
        <w:pBdr/>
        <w:spacing w:before="240" w:after="240" w:line="240" w:lineRule="auto"/>
        <w:ind w:left="0" w:right="0"/>
        <w:jc w:val="left"/>
      </w:pPr>
      <w:r>
        <w:rPr>
          <w:color w:val="000000"/>
          <w:sz w:val="24"/>
          <w:szCs w:val="24"/>
        </w:rPr>
        <w:t xml:space="preserve">The questions are, a) how does the activity of arm muscles change while the crank of the arm driven ergometer rotates? b) does the activity pattern depend on the resistance and the on the mode of crank grabbing? Hypotheses: 1. Activities of the muscles do not change as a function of crank angle. 2. The angular domains in which the muscles are active do not depend on crank resistance. 3. These domains do not change through the modification of grabbing mode.</w:t>
      </w:r>
    </w:p>
    <w:p>
      <w:pPr>
        <w:pBdr/>
        <w:spacing w:before="240" w:after="240" w:line="240" w:lineRule="auto"/>
        <w:ind w:left="0" w:right="0"/>
        <w:jc w:val="left"/>
      </w:pPr>
      <w:r>
        <w:rPr>
          <w:color w:val="000000"/>
          <w:sz w:val="24"/>
          <w:szCs w:val="24"/>
        </w:rPr>
        <w:t xml:space="preserve">Methods: 15 healthy persons (aged between 19-27) executed arm cycling movements on a MEYRA arm ergometer. In different movement conditions (defined by crank resistance and grabbing mode) they cycled 10-10 circles (10 in each condition). We applied a ZEBRIS ultrasonic based movement analyzer for date collection. The instrument recorded the positions of markers which were located on the arms and on the winch of the ergometer (sampling frequency 30Hz) and the EMG activity of Biceps, Triceps, Delta Anterior and Posterior (1000Hz). The filtering and processing of the data was executed with MATLAB modules. I averaged the EMG values across cycles for each movement conditions. I defined the active muscle effort according to Ozgunen et al. (2010): I checked for all the crank angles (0-360°) if there is a muscle activity above 35% of maximal averaged activity, so I could determine the angular domains where the muscles were active.</w:t>
      </w:r>
    </w:p>
    <w:p>
      <w:pPr>
        <w:pBdr/>
        <w:spacing w:before="240" w:after="240" w:line="240" w:lineRule="auto"/>
        <w:ind w:left="0" w:right="0"/>
        <w:jc w:val="left"/>
      </w:pPr>
      <w:r>
        <w:rPr>
          <w:color w:val="000000"/>
          <w:sz w:val="24"/>
          <w:szCs w:val="24"/>
        </w:rPr>
        <w:t xml:space="preserve">Results: I gave the EMG values as a function crank angle. These reflect unambigously changing muscle activities, thus I discarded my first hypotesis as well as the 2nd one, since in the case of Biceps and Triceps I found significant differences in the onset of activities when crank resistance changed. I accepted the 3rd hypothesis, because the angular domain where the muscle activity begins does not depend on the grabbing mode.</w:t>
      </w:r>
    </w:p>
    <w:p>
      <w:pPr>
        <w:pBdr/>
        <w:spacing w:before="240" w:after="240" w:line="240" w:lineRule="auto"/>
        <w:ind w:left="0" w:right="0"/>
        <w:jc w:val="left"/>
      </w:pPr>
      <w:r>
        <w:rPr>
          <w:color w:val="000000"/>
          <w:sz w:val="24"/>
          <w:szCs w:val="24"/>
        </w:rPr>
        <w:t xml:space="preserve">Summary: I proposed muscle activity patterns in order to let upper limb paralyzed patients to cycle with their own arm muscle forces, through application of FES. The proposed patterns can be applied in movement creation for after-stroke or spinal cord injured patients.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41131">
    <w:multiLevelType w:val="hybridMultilevel"/>
    <w:lvl w:ilvl="0" w:tplc="81146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41131">
    <w:abstractNumId w:val="58441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883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