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BARÁTH</w:t>
            </w:r>
          </w:p>
          <w:p w:rsidR="00C275A3" w:rsidRDefault="00A96AEC" w:rsidP="00C275A3">
            <w:pPr>
              <w:pStyle w:val="Hallgatokepzes"/>
            </w:pPr>
            <w:r>
              <w:t>Sportmanager</w:t>
            </w:r>
            <w:r>
              <w:br/>
            </w:r>
            <w:r w:rsidR="00E77B23">
              <w:t>MSc,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Farkas</w:t>
            </w:r>
          </w:p>
          <w:p w:rsidR="00DB4822" w:rsidRDefault="00DB4822" w:rsidP="00E11062">
            <w:pPr>
              <w:pStyle w:val="Konzulensek"/>
            </w:pPr>
            <w:r w:rsidRPr="00DB4822">
              <w:t>Office of the Dean, Senior Advisor,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Sustainable Funding of Grassroots Sport in the European Union and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European Union is in a continuous competition with the rest of the world's economic areas. One of the important elements of the competitiveness is the human resources.</w:t>
      </w:r>
    </w:p>
    <w:p>
      <w:pPr>
        <w:widowControl w:val="on"/>
        <w:pBdr/>
        <w:spacing w:before="240" w:after="240" w:line="240" w:lineRule="auto"/>
        <w:ind w:left="0" w:right="0"/>
        <w:jc w:val="left"/>
      </w:pPr>
      <w:r>
        <w:rPr>
          <w:color w:val="000000"/>
          <w:sz w:val="24"/>
          <w:szCs w:val="24"/>
        </w:rPr>
        <w:t xml:space="preserve">It is well-known that the healthy and fit employee spends less time in sick-leave making it more beneficial for the nation and for the European economy by lowering the medical costs and increasing the manpower’s productivity.</w:t>
      </w:r>
    </w:p>
    <w:p>
      <w:pPr>
        <w:widowControl w:val="on"/>
        <w:pBdr/>
        <w:spacing w:before="240" w:after="240" w:line="240" w:lineRule="auto"/>
        <w:ind w:left="0" w:right="0"/>
        <w:jc w:val="left"/>
      </w:pPr>
      <w:r>
        <w:rPr>
          <w:color w:val="000000"/>
          <w:sz w:val="24"/>
          <w:szCs w:val="24"/>
        </w:rPr>
        <w:t xml:space="preserve">The case is that staying/being healthy and fit is not simply the individual’s responsibility. Proper infrastructure and programs is just as important which needs to be financed in the member states and the EU.</w:t>
      </w:r>
    </w:p>
    <w:p>
      <w:pPr>
        <w:widowControl w:val="on"/>
        <w:pBdr/>
        <w:spacing w:before="240" w:after="240" w:line="240" w:lineRule="auto"/>
        <w:ind w:left="0" w:right="0"/>
        <w:jc w:val="left"/>
      </w:pPr>
      <w:r>
        <w:rPr>
          <w:color w:val="000000"/>
          <w:sz w:val="24"/>
          <w:szCs w:val="24"/>
        </w:rPr>
        <w:t xml:space="preserve">The Study on funding of grassroots sport in the EU is an eight hundred-pages document published in 2011 and financed by the EU.</w:t>
      </w:r>
    </w:p>
    <w:p>
      <w:pPr>
        <w:widowControl w:val="on"/>
        <w:pBdr/>
        <w:spacing w:before="240" w:after="240" w:line="240" w:lineRule="auto"/>
        <w:ind w:left="0" w:right="0"/>
        <w:jc w:val="left"/>
      </w:pPr>
      <w:r>
        <w:rPr>
          <w:color w:val="000000"/>
          <w:sz w:val="24"/>
          <w:szCs w:val="24"/>
        </w:rPr>
        <w:t xml:space="preserve">After a rapid professional analysis one can notice that the 5 identified key funding elements can be found only in the economically more developed member states.</w:t>
      </w:r>
    </w:p>
    <w:p>
      <w:pPr>
        <w:widowControl w:val="on"/>
        <w:pBdr/>
        <w:spacing w:before="240" w:after="240" w:line="240" w:lineRule="auto"/>
        <w:ind w:left="0" w:right="0"/>
        <w:jc w:val="left"/>
      </w:pPr>
      <w:r>
        <w:rPr>
          <w:color w:val="000000"/>
          <w:sz w:val="24"/>
          <w:szCs w:val="24"/>
        </w:rPr>
        <w:t xml:space="preserve">Hypothesis</w:t>
      </w:r>
    </w:p>
    <w:p>
      <w:pPr>
        <w:widowControl w:val="on"/>
        <w:pBdr/>
        <w:spacing w:before="240" w:after="240" w:line="240" w:lineRule="auto"/>
        <w:ind w:left="0" w:right="0"/>
        <w:jc w:val="left"/>
      </w:pPr>
      <w:r>
        <w:rPr>
          <w:color w:val="000000"/>
          <w:sz w:val="24"/>
          <w:szCs w:val="24"/>
        </w:rPr>
        <w:t xml:space="preserve">We suppose in our research after the comparing the important domestic documents and the EUs study that we could identify the domestic sustainable funding elements including those can be found in the EU study.</w:t>
      </w:r>
    </w:p>
    <w:p>
      <w:pPr>
        <w:widowControl w:val="on"/>
        <w:pBdr/>
        <w:spacing w:before="240" w:after="240" w:line="240" w:lineRule="auto"/>
        <w:ind w:left="0" w:right="0"/>
        <w:jc w:val="left"/>
      </w:pPr>
      <w:r>
        <w:rPr>
          <w:color w:val="000000"/>
          <w:sz w:val="24"/>
          <w:szCs w:val="24"/>
        </w:rPr>
        <w:t xml:space="preserve">Research method</w:t>
      </w:r>
    </w:p>
    <w:p>
      <w:pPr>
        <w:widowControl w:val="on"/>
        <w:pBdr/>
        <w:spacing w:before="240" w:after="240" w:line="240" w:lineRule="auto"/>
        <w:ind w:left="0" w:right="0"/>
        <w:jc w:val="left"/>
      </w:pPr>
      <w:r>
        <w:rPr>
          <w:color w:val="000000"/>
          <w:sz w:val="24"/>
          <w:szCs w:val="24"/>
        </w:rPr>
        <w:t xml:space="preserve">We use document analysis for the 3 items: the EU study, a Hungarian research paper and a Hungarian sport policy document. We compare them by focusing on the identified funding pillars.</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Based on the comparison it was found that 3 out of the 5 funding pillars identified in the EU study are not available in Hungary, causing a great gap in the financing system of grassroot sport. The two pillars that Hungarian sport also has in funding grassroot sport at the same time brings in only 45% of the total funding needs, contrary to the 90% of the EU data.</w:t>
      </w:r>
    </w:p>
    <w:p>
      <w:pPr>
        <w:widowControl w:val="on"/>
        <w:pBdr/>
        <w:spacing w:before="240" w:after="240" w:line="240" w:lineRule="auto"/>
        <w:ind w:left="0" w:right="0"/>
        <w:jc w:val="left"/>
      </w:pPr>
      <w:r>
        <w:rPr>
          <w:color w:val="000000"/>
          <w:sz w:val="24"/>
          <w:szCs w:val="24"/>
        </w:rPr>
        <w:t xml:space="preserve">Summary</w:t>
      </w:r>
    </w:p>
    <w:p>
      <w:pPr>
        <w:widowControl w:val="on"/>
        <w:pBdr/>
        <w:spacing w:before="240" w:after="240" w:line="240" w:lineRule="auto"/>
        <w:ind w:left="0" w:right="0"/>
        <w:jc w:val="left"/>
      </w:pPr>
      <w:r>
        <w:rPr>
          <w:color w:val="000000"/>
          <w:sz w:val="24"/>
          <w:szCs w:val="24"/>
        </w:rPr>
        <w:t xml:space="preserve">It is important to use the results of the EU study in the national sport development plans. The results calls the attention to the fact that 55% of the funding resources is missing from the Hungarian grassroot sport.</w:t>
      </w:r>
    </w:p>
    <w:p>
      <w:pPr>
        <w:widowControl w:val="on"/>
        <w:pBdr/>
        <w:spacing w:before="240" w:after="240" w:line="240" w:lineRule="auto"/>
        <w:ind w:left="0" w:right="0"/>
        <w:jc w:val="left"/>
      </w:pPr>
      <w:r>
        <w:rPr>
          <w:color w:val="000000"/>
          <w:sz w:val="24"/>
          <w:szCs w:val="24"/>
        </w:rPr>
        <w:t xml:space="preserve">According to the results we suggest to descript and create the a Hungarian sport financing model's, which builds upon the Hungarian economic and social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06820">
    <w:multiLevelType w:val="hybridMultilevel"/>
    <w:lvl w:ilvl="0" w:tplc="52973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06820">
    <w:abstractNumId w:val="44806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98369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