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FÖLDESI MARCELLA</w:t>
            </w:r>
          </w:p>
          <w:p w:rsidR="00C275A3" w:rsidRDefault="00A96AEC" w:rsidP="00C275A3">
            <w:pPr>
              <w:pStyle w:val="Hallgatokepzes"/>
            </w:pPr>
            <w:r>
              <w:t>Környezettan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Mika László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VBK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Tukacs József Márk</w:t>
            </w:r>
          </w:p>
          <w:p w:rsidR="00DB4822" w:rsidRDefault="00DB4822" w:rsidP="00E11062">
            <w:pPr>
              <w:pStyle w:val="Konzulensek"/>
            </w:pPr>
            <w:r w:rsidRPr="00DB4822">
              <w:t>PhD-hallgató,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Fluoros ruténium tartalmú katalizátorok előállítása és alkalmazása transzfer-hidrogénezési reakciókban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Mindennapjaink pazarló és környezetszennyező életvitelét a vegyipar teljes mértékben, esetenként túlzottan kiszolgálja. A zöldkémia egyik alapvető célkitűzése olyan technológiák megteremtése, melyek hosszú távon a lehető leggazdaságosabb keretek között mennek végbe, ezzel csökkentve közvetlen és közvetett környezetkárosító hatásukat. Ígéretes anyag a gamma-valerolakton</w:t>
      </w:r>
      <w:r>
        <w:rPr>
          <w:color w:val="000000"/>
          <w:position w:val="4"/>
          <w:sz w:val="21"/>
          <w:szCs w:val="21"/>
          <w:vertAlign w:val="superscript"/>
        </w:rPr>
        <w:t xml:space="preserve">1</w:t>
      </w:r>
      <w:r>
        <w:rPr>
          <w:color w:val="000000"/>
          <w:sz w:val="24"/>
          <w:szCs w:val="24"/>
        </w:rPr>
        <w:t xml:space="preserve"> (GVL), mivel természetes eredetű biomasszából – nem ehető szénhidrátokból – könnyen előállítható. Előnyös fizikai és kémiai tulajdonságai miatt, mint fenntartható folyadék,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 szerves platform molekulaként,</w:t>
      </w:r>
      <w:r>
        <w:rPr>
          <w:color w:val="000000"/>
          <w:position w:val="4"/>
          <w:sz w:val="21"/>
          <w:szCs w:val="21"/>
          <w:vertAlign w:val="superscript"/>
        </w:rPr>
        <w:t xml:space="preserve">3</w:t>
      </w:r>
      <w:r>
        <w:rPr>
          <w:color w:val="000000"/>
          <w:sz w:val="24"/>
          <w:szCs w:val="24"/>
        </w:rPr>
        <w:t xml:space="preserve"> oldószerként, oktánszám növelőként és üzemanyagként egyaránt alkalmazható.</w:t>
      </w:r>
      <w:r>
        <w:rPr>
          <w:color w:val="000000"/>
          <w:sz w:val="24"/>
          <w:szCs w:val="24"/>
        </w:rPr>
        <w:br/>
        <w:t xml:space="preserve">Dolgozatom középpontjában a GVL, mint potenciális vegyipari alapanyag, és lehetséges gazdaságos előállítása áll. Jelen esetben a levulinsavat kétfázisú transzfer-hidrogénezéssel alakítottam át GVL-lé, melynek során egy ismert ruténium tartalmú komplex – {[2,5-Ph2-3,4-(p-MePh)2(η5-C4CO)]2H}Ru2(CO)4(μ-H)</w:t>
      </w:r>
      <w:r>
        <w:rPr>
          <w:color w:val="000000"/>
          <w:position w:val="4"/>
          <w:sz w:val="21"/>
          <w:szCs w:val="21"/>
          <w:vertAlign w:val="superscript"/>
        </w:rPr>
        <w:t xml:space="preserve">4</w:t>
      </w:r>
      <w:r>
        <w:rPr>
          <w:color w:val="000000"/>
          <w:sz w:val="24"/>
          <w:szCs w:val="24"/>
        </w:rPr>
        <w:t xml:space="preserve"> – perfluorozott változatát alkalmaztam katalizátorként, hidrogén donorként pedig hangyasavat használtam a megszokott molekuláris hidrogén helyett. Ezzel a módszerrel enyhébb reakciókörülmények között, kockázatmentesebben viszonyok állnak fent. Az eljárás jelentősége mindemellett abban nyilvánul meg, hogy a létrehozott fluoros kétfázisú rendszer</w:t>
      </w:r>
      <w:r>
        <w:rPr>
          <w:color w:val="000000"/>
          <w:position w:val="4"/>
          <w:sz w:val="21"/>
          <w:szCs w:val="21"/>
          <w:vertAlign w:val="superscript"/>
        </w:rPr>
        <w:t xml:space="preserve">5</w:t>
      </w:r>
      <w:r>
        <w:rPr>
          <w:color w:val="000000"/>
          <w:sz w:val="24"/>
          <w:szCs w:val="24"/>
        </w:rPr>
        <w:t xml:space="preserve"> (FBS) biztosítja a reagensek és a termék viszonylag egyszerű és hatékony elválasztását, ily módon a katalizátor újfent alkalmazható, melléktermék keletkezésével pedig – a víz mellett – nem kell számolni. Munkám során a prekurzor előállítása és alkalmazása mellett, a katalizátor aktivitását is vizsgáltam transzfer-hidrogénezési reakciókban.</w:t>
      </w: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position w:val="4"/>
          <w:sz w:val="21"/>
          <w:szCs w:val="21"/>
          <w:vertAlign w:val="superscript"/>
        </w:rPr>
        <w:br/>
        <w:t xml:space="preserve">1</w:t>
      </w:r>
      <w:r>
        <w:rPr>
          <w:color w:val="000000"/>
          <w:sz w:val="24"/>
          <w:szCs w:val="24"/>
        </w:rPr>
        <w:t xml:space="preserve"> I. T. Horváth, 10th Annual Green Chemistry &amp; Engineering Conference, Washington, DC, July 26–30, 2006, abstract number 27.</w:t>
      </w:r>
      <w:r>
        <w:rPr>
          <w:color w:val="000000"/>
          <w:position w:val="4"/>
          <w:sz w:val="21"/>
          <w:szCs w:val="21"/>
          <w:vertAlign w:val="superscript"/>
        </w:rPr>
        <w:br/>
        <w:t xml:space="preserve">2</w:t>
      </w:r>
      <w:r>
        <w:rPr>
          <w:color w:val="000000"/>
          <w:sz w:val="24"/>
          <w:szCs w:val="24"/>
        </w:rPr>
        <w:t xml:space="preserve"> I. T. Horváth, H. Mehdi, V. Fábos, L. Boda, L. T. Mika, Green Chem., 2008,10, 238–242.</w:t>
      </w:r>
      <w:r>
        <w:rPr>
          <w:color w:val="000000"/>
          <w:position w:val="4"/>
          <w:sz w:val="21"/>
          <w:szCs w:val="21"/>
          <w:vertAlign w:val="superscript"/>
        </w:rPr>
        <w:br/>
        <w:t xml:space="preserve">3</w:t>
      </w:r>
      <w:r>
        <w:rPr>
          <w:color w:val="000000"/>
          <w:sz w:val="24"/>
          <w:szCs w:val="24"/>
        </w:rPr>
        <w:t xml:space="preserve"> Bond, J. Q. - Alonso, D. M. - Wang, D. - West, R. M. - Dumesic, J. A., Science, 2010, 327, pp. 1110.</w:t>
      </w:r>
      <w:r>
        <w:rPr>
          <w:color w:val="000000"/>
          <w:position w:val="4"/>
          <w:sz w:val="21"/>
          <w:szCs w:val="21"/>
          <w:vertAlign w:val="superscript"/>
        </w:rPr>
        <w:br/>
        <w:t xml:space="preserve">4</w:t>
      </w:r>
      <w:r>
        <w:rPr>
          <w:color w:val="000000"/>
          <w:sz w:val="24"/>
          <w:szCs w:val="24"/>
        </w:rPr>
        <w:t xml:space="preserve"> Fábos V., Doktori értekezés, ELTE, 2009.</w:t>
      </w:r>
      <w:r>
        <w:rPr>
          <w:color w:val="000000"/>
          <w:position w:val="4"/>
          <w:sz w:val="21"/>
          <w:szCs w:val="21"/>
          <w:vertAlign w:val="superscript"/>
        </w:rPr>
        <w:br/>
        <w:t xml:space="preserve">5</w:t>
      </w:r>
      <w:r>
        <w:rPr>
          <w:color w:val="000000"/>
          <w:sz w:val="24"/>
          <w:szCs w:val="24"/>
        </w:rPr>
        <w:t xml:space="preserve"> Rábai J., MTA Doktori értekezés tézise, 2010, 13.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953235">
    <w:multiLevelType w:val="hybridMultilevel"/>
    <w:lvl w:ilvl="0" w:tplc="555040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953235">
    <w:abstractNumId w:val="539532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75300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