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MARCELLA FÖLDESI</w:t>
            </w:r>
          </w:p>
          <w:p w:rsidR="00C275A3" w:rsidRDefault="00A96AEC" w:rsidP="00C275A3">
            <w:pPr>
              <w:pStyle w:val="Hallgatokepzes"/>
            </w:pPr>
            <w:r>
              <w:t>Environmental Science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T. Mika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M. Tukacs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Production and application of fluorous ruthenious catalyst in transfer hydrogenation reaction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Recently, the selection and consuption of appripriate resources from biomass have become a controversial issue due to the dramatically increased utilization of edible resources. Thus the selective conversion of non-edible components of biomass plays a key role in sustainable development. It has been shown, that gamma-valerolactone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(GVL), exhibits the most important properties of a sustainable liquid,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 can be converted to alkenes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and used as transportation fuel. It was proposed, that the GVL can be produced from levulinic acid and formic acid in the precense of Shvo’s catalyst ({[2,5-Ph2-3,4-(p-MePh)2(η5-C4CO)]2H}Ru2(CO)4(μ-H)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). The application of fluorous biphasic catalysis can provide a facile product or catalyst separation by one of appropriatly modified transfer metal catalyst.</w:t>
      </w:r>
      <w:r>
        <w:rPr>
          <w:color w:val="000000"/>
          <w:sz w:val="24"/>
          <w:szCs w:val="24"/>
        </w:rPr>
        <w:br/>
        <w:t xml:space="preserve">We proposed that fluorous version of Shvo’s catalyst could transform levulinic acid to GVL under FBS conditions. The propation of new catalyst, the reaction parameters will be presented.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br/>
        <w:t xml:space="preserve">1</w:t>
      </w:r>
      <w:r>
        <w:rPr>
          <w:color w:val="000000"/>
          <w:sz w:val="24"/>
          <w:szCs w:val="24"/>
        </w:rPr>
        <w:t xml:space="preserve"> Bond, J. Q., Alonso, D. M., Wang, D., West, R. M., Dumesic, J. A., Science, 2010, 327, 1110.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 Fábos V., Doktori értekezés, ELTE, 2009.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</w:t>
      </w:r>
      <w:r>
        <w:rPr>
          <w:color w:val="000000"/>
          <w:sz w:val="24"/>
          <w:szCs w:val="24"/>
        </w:rPr>
        <w:t xml:space="preserve"> I. T. Horváth, 10th Annual Green Chemistry &amp; Engineering Conference, Washington, DC, July 26–30, 2006, abstract number 27.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4</w:t>
      </w:r>
      <w:r>
        <w:rPr>
          <w:color w:val="000000"/>
          <w:sz w:val="24"/>
          <w:szCs w:val="24"/>
        </w:rPr>
        <w:t xml:space="preserve"> I. T. Horváth, H. Mehdi, V. Fábos, L. Boda, L. T. Mika, Green Chem., 2008,10, 238–242.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64231">
    <w:multiLevelType w:val="hybridMultilevel"/>
    <w:lvl w:ilvl="0" w:tplc="21860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64231">
    <w:abstractNumId w:val="25064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05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