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VINCZE</w:t>
            </w:r>
          </w:p>
          <w:p w:rsidR="00C275A3" w:rsidRDefault="00A96AEC" w:rsidP="00C275A3">
            <w:pPr>
              <w:pStyle w:val="Hallgatokepzes"/>
            </w:pPr>
            <w:r>
              <w:t>Environmental Science</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Magyari</w:t>
            </w:r>
          </w:p>
          <w:p w:rsidR="00DB4822" w:rsidRDefault="00DB4822" w:rsidP="00E11062">
            <w:pPr>
              <w:pStyle w:val="Konzulensek"/>
            </w:pPr>
            <w:r w:rsidRPr="00DB4822">
              <w:t>senior research fellow,  MTA-MTM-ELTE Research Group for Paleontology 
</w:t>
            </w:r>
          </w:p>
        </w:tc>
      </w:tr>
      <w:tr w:rsidR="00DB4822" w:rsidTr="00DB4822">
        <w:tc>
          <w:tcPr>
            <w:tcW w:w="9854" w:type="dxa"/>
          </w:tcPr>
          <w:p w:rsidR="00DB4822" w:rsidRPr="00DB4822" w:rsidRDefault="00DB4822" w:rsidP="004D7940">
            <w:pPr>
              <w:pStyle w:val="Konzulensek"/>
            </w:pPr>
            <w:r w:rsidRPr="00DB4822">
              <w:t>József Pálfy</w:t>
            </w:r>
          </w:p>
          <w:p w:rsidR="00DB4822" w:rsidRDefault="00DB4822" w:rsidP="00E11062">
            <w:pPr>
              <w:pStyle w:val="Konzulensek"/>
            </w:pPr>
            <w:r w:rsidRPr="00DB4822">
              <w:t>  professor, ELTE TTK</w:t>
            </w:r>
          </w:p>
        </w:tc>
      </w:tr>
      <w:tr w:rsidR="00DB4822" w:rsidTr="00DB4822">
        <w:tc>
          <w:tcPr>
            <w:tcW w:w="9854" w:type="dxa"/>
          </w:tcPr>
          <w:p w:rsidR="00DB4822" w:rsidRPr="00DB4822" w:rsidRDefault="00DB4822" w:rsidP="004D7940">
            <w:pPr>
              <w:pStyle w:val="Konzulensek"/>
            </w:pPr>
            <w:r w:rsidRPr="00DB4822">
              <w:t>Attila Demény</w:t>
            </w:r>
          </w:p>
          <w:p w:rsidR="00DB4822" w:rsidRDefault="00DB4822" w:rsidP="00E11062">
            <w:pPr>
              <w:pStyle w:val="Konzulensek"/>
            </w:pPr>
            <w:r w:rsidRPr="00DB4822">
              <w:t>director,  Hungarian Academy of Science, Institute for Geological and Geochemical Research, Research Centre for Astronomy and Earth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Lateglacial and Holocene diatom based oxygen isotope study margin of error estimation of climate reconstruction on lake sediment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have been many methods for palaeoclimate reconstruction using terrestrial deposits of the past 16,000 years. One of them is the diatom based oxygen isotope analysis which reflects the lakewater isotope signal during the diatom blooming period. In through-flow lakes this signal reflects to the oxygen isotope composition of the seasonal precipitation. Precipitation has a well-known relationship with temperature. The reliability of the analysis depends on the purity of the original diatom silica. Most importantly, it is difficult to remove the inorganic components from samples which are poor in organics. The amount of the inorganic componens shifts the δ</w:t>
      </w:r>
      <w:r>
        <w:rPr>
          <w:color w:val="000000"/>
          <w:position w:val="4"/>
          <w:sz w:val="21"/>
          <w:szCs w:val="21"/>
          <w:vertAlign w:val="superscript"/>
        </w:rPr>
        <w:t xml:space="preserve">18</w:t>
      </w:r>
      <w:r>
        <w:rPr>
          <w:color w:val="000000"/>
          <w:sz w:val="24"/>
          <w:szCs w:val="24"/>
        </w:rPr>
        <w:t xml:space="preserve">O</w:t>
      </w:r>
      <w:r>
        <w:rPr>
          <w:color w:val="000000"/>
          <w:position w:val="-4"/>
          <w:sz w:val="21"/>
          <w:szCs w:val="21"/>
          <w:vertAlign w:val="subscript"/>
        </w:rPr>
        <w:t xml:space="preserve">DIAT</w:t>
      </w:r>
      <w:r>
        <w:rPr>
          <w:color w:val="000000"/>
          <w:sz w:val="24"/>
          <w:szCs w:val="24"/>
        </w:rPr>
        <w:t xml:space="preserve"> value negatively, thus the reconstructed temperature is lower than the real. The subject of our investigations for the diatom oxygen isotope study was Lake Brazi (TDB, Taul dintre Brazi) in Romania. The main aim is to quantify the contaminants in the diatom extracts, and to try to interpret the δ</w:t>
      </w:r>
      <w:r>
        <w:rPr>
          <w:color w:val="000000"/>
          <w:position w:val="4"/>
          <w:sz w:val="21"/>
          <w:szCs w:val="21"/>
          <w:vertAlign w:val="superscript"/>
        </w:rPr>
        <w:t xml:space="preserve">18</w:t>
      </w:r>
      <w:r>
        <w:rPr>
          <w:color w:val="000000"/>
          <w:sz w:val="24"/>
          <w:szCs w:val="24"/>
        </w:rPr>
        <w:t xml:space="preserve">O</w:t>
      </w:r>
      <w:r>
        <w:rPr>
          <w:color w:val="000000"/>
          <w:position w:val="-4"/>
          <w:sz w:val="21"/>
          <w:szCs w:val="21"/>
          <w:vertAlign w:val="subscript"/>
        </w:rPr>
        <w:t xml:space="preserve">DIAT</w:t>
      </w:r>
      <w:r>
        <w:rPr>
          <w:color w:val="000000"/>
          <w:sz w:val="24"/>
          <w:szCs w:val="24"/>
        </w:rPr>
        <w:t xml:space="preserve"> signals with the results.</w:t>
      </w:r>
    </w:p>
    <w:p>
      <w:pPr>
        <w:pBdr/>
        <w:spacing w:before="240" w:after="240" w:line="240" w:lineRule="auto"/>
        <w:ind w:left="0" w:right="0"/>
        <w:jc w:val="left"/>
      </w:pPr>
      <w:r>
        <w:rPr>
          <w:color w:val="000000"/>
          <w:sz w:val="24"/>
          <w:szCs w:val="24"/>
        </w:rPr>
        <w:t xml:space="preserve">In the diatom samples I quantified the ratio of the different diatom valves and contaminants (organic, quartz, etc.). My results showed that organic components are rarely found in the samples (&lt; 6%). So are the mineral particles (quartz, feldspar, etc.), but in the late Glacial and early Holocene (13600-11680 cal yr BP) samples the ratio increases to 12-26%. In this interval their presence biases the measured δ</w:t>
      </w:r>
      <w:r>
        <w:rPr>
          <w:color w:val="000000"/>
          <w:position w:val="4"/>
          <w:sz w:val="21"/>
          <w:szCs w:val="21"/>
          <w:vertAlign w:val="superscript"/>
        </w:rPr>
        <w:t xml:space="preserve">18</w:t>
      </w:r>
      <w:r>
        <w:rPr>
          <w:color w:val="000000"/>
          <w:sz w:val="24"/>
          <w:szCs w:val="24"/>
        </w:rPr>
        <w:t xml:space="preserve">O</w:t>
      </w:r>
      <w:r>
        <w:rPr>
          <w:color w:val="000000"/>
          <w:position w:val="-4"/>
          <w:sz w:val="21"/>
          <w:szCs w:val="21"/>
          <w:vertAlign w:val="subscript"/>
        </w:rPr>
        <w:t xml:space="preserve">DIAT</w:t>
      </w:r>
      <w:r>
        <w:rPr>
          <w:color w:val="000000"/>
          <w:sz w:val="24"/>
          <w:szCs w:val="24"/>
        </w:rPr>
        <w:t xml:space="preserve"> values, therefore a correction was needed. According to our examinations, the observed great fluctuation of δ</w:t>
      </w:r>
      <w:r>
        <w:rPr>
          <w:color w:val="000000"/>
          <w:position w:val="4"/>
          <w:sz w:val="21"/>
          <w:szCs w:val="21"/>
          <w:vertAlign w:val="superscript"/>
        </w:rPr>
        <w:t xml:space="preserve">18</w:t>
      </w:r>
      <w:r>
        <w:rPr>
          <w:color w:val="000000"/>
          <w:sz w:val="24"/>
          <w:szCs w:val="24"/>
        </w:rPr>
        <w:t xml:space="preserve">O</w:t>
      </w:r>
      <w:r>
        <w:rPr>
          <w:color w:val="000000"/>
          <w:position w:val="-4"/>
          <w:sz w:val="21"/>
          <w:szCs w:val="21"/>
          <w:vertAlign w:val="subscript"/>
        </w:rPr>
        <w:t xml:space="preserve">DIAT</w:t>
      </w:r>
      <w:r>
        <w:rPr>
          <w:color w:val="000000"/>
          <w:sz w:val="24"/>
          <w:szCs w:val="24"/>
        </w:rPr>
        <w:t xml:space="preserve"> is not related to the varying amount of the contaminants, nor the diatom life form during the Holocene. This is proven by using correlation methods and is likely to be interpreted as a climate signal, which can be tied to the increasing winter / early spring precipitation or the temperature changes.</w:t>
      </w:r>
    </w:p>
    <w:p>
      <w:pPr>
        <w:pBdr/>
        <w:spacing w:before="240" w:after="240" w:line="240" w:lineRule="auto"/>
        <w:ind w:left="0" w:right="0"/>
        <w:jc w:val="left"/>
      </w:pPr>
      <w:r>
        <w:rPr>
          <w:color w:val="000000"/>
          <w:sz w:val="24"/>
          <w:szCs w:val="24"/>
        </w:rPr>
        <w:t xml:space="preserve">The δ18ODIAT signal data from Lake Brazi compared to speleotherm δ</w:t>
      </w:r>
      <w:r>
        <w:rPr>
          <w:color w:val="000000"/>
          <w:position w:val="4"/>
          <w:sz w:val="21"/>
          <w:szCs w:val="21"/>
          <w:vertAlign w:val="superscript"/>
        </w:rPr>
        <w:t xml:space="preserve">18</w:t>
      </w:r>
      <w:r>
        <w:rPr>
          <w:color w:val="000000"/>
          <w:sz w:val="24"/>
          <w:szCs w:val="24"/>
        </w:rPr>
        <w:t xml:space="preserve">O signals from Austria (COMNISPA) and Hungary (Leány Cave) show negative (COMNISPA) and positive (Leány Cave) correlations. The fluctuations of δ18O during the Holocene seem parallel with the North Atlantic Oscillation (NAO) stages. There are several intervals in which the NAO+ periods dominate – when winters in the South Carpathian are mild and dry, while during NAO- periods dominated intervals the amount of winter/early spring precipitation increased.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62838">
    <w:multiLevelType w:val="hybridMultilevel"/>
    <w:lvl w:ilvl="0" w:tplc="91708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62838">
    <w:abstractNumId w:val="26762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898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