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ANNA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PAPP GÁBOR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Domináns kisemlősfajok élőhely használata különböző erdőképkorosztályú 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Kőszegi-forrás Erdőrezervátum (Mecsek-hegység) területén elevenfogó csapdázással vizsgáltuk a kisemlősök különböző vegetációstruktúrájú erdőfoltokban megjelenő tér-időbeli mintázatát. A 2011-es évi monitorozás adatai alapján kimutatott 3 karakter rágcsálófaj – sárganyakú erdeiegér (Apodemus flavicollis), közönséges erdeiegér (Apodemus sylvaticus), vöröshátú erdeipocok (Myodes glareolus) – területhasználatát vizsgáltuk.</w:t>
      </w:r>
      <w:r>
        <w:rPr>
          <w:color w:val="000000"/>
          <w:sz w:val="24"/>
          <w:szCs w:val="24"/>
        </w:rPr>
        <w:br/>
        <w:t xml:space="preserve">Az év folyamán márciustól-augusztusig havi 5 napos mintavételi periódusokban, fogás-jelölés-visszafogás módszerével végeztük a csapdázást. Az erdőrezervátum területén 10 különböző erdőfoltban, egyenként 6×6-os csapdakonfigurációjú (25×25 m) mintakvadrátot jelöltünk ki. A fajok fogási adatainak változását az elkülönített erdőképkorosztályok és az egyes mintakvadrátok, valamint az időbeli periódusok alapján értékeltük. Minden területen a legmagasabb átlagos fogásszámmal a sárganyakú erdeiegér volt jellemző, mind a 6 hónapban. A cserjeszint borításának meghatározó szerepe volt a fogásszámok alakulásában. A nagymértékű cserjeszint borítással rendelkező foltokban magasabb fogásszám értékeket regisztráltunk.</w:t>
      </w:r>
      <w:r>
        <w:rPr>
          <w:color w:val="000000"/>
          <w:sz w:val="24"/>
          <w:szCs w:val="24"/>
        </w:rPr>
        <w:br/>
        <w:t xml:space="preserve">A területhasználatot a habitat niche-szélesség, -átfedés és az Ivlev-féle habitat preferencia alapján vizsgáltuk. Számításainkat a mintavételi területek, illetve az 5 erdőképkorosztály szerinti csoport alapján is elvégeztük. Az erdőképkorosztályok alapján a sárganyakú erdeiegér átlagos niche-szélessége szignifikánsan kisebb volt, mint a másik két faj esetében. A 10 mintaterület figyelembevételével a fajok közötti habitat niche-átfedés értékek varianciaanalízise alapján a közönséges erdeiegér és az erdei pocok közötti niche-átfedés szignifikánsan kisebb volt, mint a sárganyakú erdeiegér és az előbbi két faj között.</w:t>
      </w:r>
      <w:r>
        <w:rPr>
          <w:color w:val="000000"/>
          <w:sz w:val="24"/>
          <w:szCs w:val="24"/>
        </w:rPr>
        <w:br/>
        <w:t xml:space="preserve">A három koegzisztens faj fogási adatainak változását az elkülönített erdőképkorosztályok és az egyes mintakvadrátok alapján, valamint az időbeli periódusok (hónap, szezon) hatásának függvényében általánosított lineáris regressziós modellekkel (GLM) vizsgáltuk. A modellek eredményei alátámasztották a fogási adatok értékelése során tapasztaltakat.</w:t>
      </w:r>
      <w:r>
        <w:rPr>
          <w:color w:val="000000"/>
          <w:sz w:val="24"/>
          <w:szCs w:val="24"/>
        </w:rPr>
        <w:br/>
        <w:t xml:space="preserve">A 10 mintakvadrát alapján elvégzett Ivlev-féle habitat preferencia számítások eredményei azt mutatták, hogy a sárganyakú erdeiegér kevesebb alkalommal mutatott szignifikáns pozitív foltpreferenciát, mint negatívat. A legtöbb esetben az Ivelev-érték nem tért el a nullától. Az erdei pocoknál és a közönséges erdeiegérnél a legnagyobb számmal szignifikáns negatív preferenciát mutattunk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42637">
    <w:multiLevelType w:val="hybridMultilevel"/>
    <w:lvl w:ilvl="0" w:tplc="19644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42637">
    <w:abstractNumId w:val="35042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064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