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GÁBOR</w:t>
            </w:r>
          </w:p>
          <w:p w:rsidR="00C275A3" w:rsidRDefault="00A96AEC" w:rsidP="00C275A3">
            <w:pPr>
              <w:pStyle w:val="Hallgatokepzes"/>
            </w:pPr>
            <w:r>
              <w:t>Biology</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GÁBOR PAPP</w:t>
            </w:r>
          </w:p>
          <w:p w:rsidR="00DB4822" w:rsidRDefault="00C275A3" w:rsidP="004D7940">
            <w:pPr>
              <w:pStyle w:val="Hallgatokepzes"/>
            </w:pPr>
            <w:r>
              <w:t>Biology</w:t>
            </w:r>
            <w:r w:rsidR="00A96AEC">
              <w:br/>
              <w:t>BSc,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Győző Horváth</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Habitat use of dominant small mammals in forest patches of different ages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Spatial and temporal patterns of the yellow-necked wood mouse (Apodemus flavicollis), the wood mouse (Apodemus sylvaticus), and the bank vole (Myodes glareolus) were investigated in 2011 in forest patches of various vegetation structure in the Kőszegi-forrás Reserve.</w:t>
      </w:r>
      <w:r>
        <w:rPr>
          <w:color w:val="000000"/>
          <w:sz w:val="24"/>
          <w:szCs w:val="24"/>
        </w:rPr>
        <w:br/>
        <w:t xml:space="preserve">   Trapping was performed in monthly 5-day sampling periods from March to August, using the capture-mark-recapture method, in 10 different forest patches with 6×6 traps (25×25 m) in each grid. Capture data were analysed in respect of differentiated forest age groups, sampling grids, and time periods. The yellow-necked wood mouse had the highest capture numbers in each of the plots, in all 6 months. High shrub layer coverage had a determining role in causing high capture numbers.</w:t>
      </w:r>
      <w:r>
        <w:rPr>
          <w:color w:val="000000"/>
          <w:sz w:val="24"/>
          <w:szCs w:val="24"/>
        </w:rPr>
        <w:br/>
        <w:t xml:space="preserve">   We performed space use calculations based on sampling grids and the 5 forest categories, too. The mean niche-breadth of the yellow-necked wood mouse for forest categories was significantly lower than that of the other two species. Based on niche overlap variance analysis between species in the 10 plots, niche overlap between wood mouse and bank vole was significantly lower than between the yellow-necked wood mouse and the former two species.</w:t>
      </w:r>
      <w:r>
        <w:rPr>
          <w:color w:val="000000"/>
          <w:sz w:val="24"/>
          <w:szCs w:val="24"/>
        </w:rPr>
        <w:br/>
        <w:t xml:space="preserve">   Generalised linear regression models (GLM) were used to investigate the changes of capture data in the three species, in different forest categories and sampling grids, and in respect of the effect of different time periods. The results supported what was found when evaluating capture data.</w:t>
      </w:r>
      <w:r>
        <w:rPr>
          <w:color w:val="000000"/>
          <w:sz w:val="24"/>
          <w:szCs w:val="24"/>
        </w:rPr>
        <w:br/>
        <w:t xml:space="preserve">   Ivlev’s habitat preference results showed that the yellow necked wood mouse had less cases of significant positive patch preference than negative. In most cases Ivlev’s values did not deviate from zero. The bank vole and the wood mouse showed significant negative preference in most of the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93529">
    <w:multiLevelType w:val="hybridMultilevel"/>
    <w:lvl w:ilvl="0" w:tplc="87266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93529">
    <w:abstractNumId w:val="11093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3465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