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ARNOLD RÁCZ</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ORSOLYA SALLER</w:t>
            </w:r>
          </w:p>
          <w:p w:rsidR="00DB4822" w:rsidRDefault="00C275A3" w:rsidP="004D7940">
            <w:pPr>
              <w:pStyle w:val="Hallgatokepzes"/>
            </w:pPr>
            <w:r>
              <w:t>Biology</w:t>
            </w:r>
            <w:r w:rsidR="00A96AEC">
              <w:br/>
              <w:t>BSc, 5.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Győző Horváth</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Population dynamics of the yellow-necked wood mouse (Apodemus flavicollis) compared by robust and open population estimation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authors evaluated the demographic pattern of the dominant yellow-necked wood mouse (Apodemus flavicollis) trapped in 2011 in 10 different forest patches of Kőszegi-forrás reserve. Our fundamental question were whether capture-recapture data from small quadrates are suitable for running population models and estimating demographic parameters, and which models are more sensitive to the spatial and temporal variability of life history matrices of the studied species.</w:t>
      </w:r>
    </w:p>
    <w:p>
      <w:pPr>
        <w:pBdr/>
        <w:spacing w:before="240" w:after="240" w:line="240" w:lineRule="auto"/>
        <w:ind w:left="0" w:right="0"/>
        <w:jc w:val="left"/>
      </w:pPr>
      <w:r>
        <w:rPr>
          <w:color w:val="000000"/>
          <w:sz w:val="24"/>
          <w:szCs w:val="24"/>
        </w:rPr>
        <w:t xml:space="preserve">Monthly abundance values were obtained through three methods. MNA („minimum number known alive”) was used as population index, and population sizes were estimated from capture history matrices in an open model (POPAN) and in a robust closed model (Kendall-method). Rank-correlation tests between abundance values of the three methods showed that values of the MNA and the robust model strongly correlated in most of the sample plots. Compared to these values, the open population model over-estimated the size of locally patterned populations in several of the periods, and its adundance values did not correlate with those of the other two in several patches. Significant abundance difference in the comparison of months was found based on MNA and the robust method, while the open estimator revealed difference between the sampling plots.</w:t>
      </w:r>
    </w:p>
    <w:p>
      <w:pPr>
        <w:pBdr/>
        <w:spacing w:before="240" w:after="240" w:line="240" w:lineRule="auto"/>
        <w:ind w:left="0" w:right="0"/>
        <w:jc w:val="left"/>
      </w:pPr>
      <w:r>
        <w:rPr>
          <w:color w:val="000000"/>
          <w:sz w:val="24"/>
          <w:szCs w:val="24"/>
        </w:rPr>
        <w:t xml:space="preserve">Our results indicate that the POPAN open model, emphasising the turnover of individuals between the superpopulation and the studied area, was more sensitive to the spatial variability of capture-recapture data. Neither the robust model with double-layer sampling, nor MNA reflected the variability of different spatial locations, yet both described similarly the temporal changes of demographic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41628">
    <w:multiLevelType w:val="hybridMultilevel"/>
    <w:lvl w:ilvl="0" w:tplc="62935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41628">
    <w:abstractNumId w:val="47641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67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