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BENDER</w:t>
            </w:r>
          </w:p>
          <w:p w:rsidR="00C275A3" w:rsidRDefault="00A96AEC" w:rsidP="00C275A3">
            <w:pPr>
              <w:pStyle w:val="Hallgatokepzes"/>
            </w:pPr>
            <w:r>
              <w:t>Nature Conservation Engineering</w:t>
            </w:r>
            <w:r>
              <w:br/>
            </w:r>
            <w:r w:rsidR="00E77B23">
              <w:t>BSc, 9.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PhD. Ferenc Lakatos</w:t>
            </w:r>
          </w:p>
          <w:p w:rsidR="00DB4822" w:rsidRDefault="00DB4822" w:rsidP="00E11062">
            <w:pPr>
              <w:pStyle w:val="Konzulensek"/>
            </w:pPr>
            <w:r w:rsidRPr="00DB4822">
              <w:t>professor, NYME EMK</w:t>
            </w:r>
          </w:p>
        </w:tc>
      </w:tr>
      <w:tr w:rsidR="00DB4822" w:rsidTr="00DB4822">
        <w:tc>
          <w:tcPr>
            <w:tcW w:w="9854" w:type="dxa"/>
          </w:tcPr>
          <w:p w:rsidR="00DB4822" w:rsidRPr="00DB4822" w:rsidRDefault="00DB4822" w:rsidP="004D7940">
            <w:pPr>
              <w:pStyle w:val="Konzulensek"/>
            </w:pPr>
            <w:r w:rsidRPr="00DB4822">
              <w:t>Viktória Tóth</w:t>
            </w:r>
          </w:p>
          <w:p w:rsidR="00DB4822" w:rsidRDefault="00DB4822" w:rsidP="00E11062">
            <w:pPr>
              <w:pStyle w:val="Konzulensek"/>
            </w:pPr>
            <w:r w:rsidRPr="00DB4822">
              <w:t>researcher,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Population genetic investigation of the invasive sycamore lace bug (Corythuca ciliata)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investigation we compared 63 lace bugs from 12 Corythuca ciliata populations by using molecular genetic techniques. For the control group we used the sequences of Corythuca marmorata from the genebank. We investigated the 1164 bp long sequences.</w:t>
      </w:r>
    </w:p>
    <w:p>
      <w:pPr>
        <w:pBdr/>
        <w:spacing w:before="240" w:after="240" w:line="240" w:lineRule="auto"/>
        <w:ind w:left="0" w:right="0"/>
        <w:jc w:val="left"/>
      </w:pPr>
      <w:r>
        <w:rPr>
          <w:color w:val="000000"/>
          <w:sz w:val="24"/>
          <w:szCs w:val="24"/>
        </w:rPr>
        <w:t xml:space="preserve">From the samples we discovered that the populations in North America are more varied than any others. The haplotypes in North America differ in 5-7 bases from HT1. The 63 lace bugs are classified into 13 haplotypes. The 30 European samples can be classified into 6 haplotypes, the 11 central Asian lace bugs can be classified into 3 haplotypes, the 7 Japanese lace bugs can be classified into 2 haplotypes, the 15 North American lace bugs can be classified into 6 haplotypes.</w:t>
      </w:r>
    </w:p>
    <w:p>
      <w:pPr>
        <w:pBdr/>
        <w:spacing w:before="240" w:after="240" w:line="240" w:lineRule="auto"/>
        <w:ind w:left="0" w:right="0"/>
        <w:jc w:val="left"/>
      </w:pPr>
      <w:r>
        <w:rPr>
          <w:color w:val="000000"/>
          <w:sz w:val="24"/>
          <w:szCs w:val="24"/>
        </w:rPr>
        <w:t xml:space="preserve">The European, central Asian and Japanese samples show that there are only a few haplotypes that spread from North America. Only the HT1 can be found in North America, Europe and in Central Asia. The HT5 can only be found in North America and Japan. We can see that the lace bugs in Japan did not migrate through Europe.</w:t>
      </w:r>
    </w:p>
    <w:p>
      <w:pPr>
        <w:pBdr/>
        <w:spacing w:before="240" w:after="240" w:line="240" w:lineRule="auto"/>
        <w:ind w:left="0" w:right="0"/>
        <w:jc w:val="left"/>
      </w:pPr>
      <w:r>
        <w:rPr>
          <w:color w:val="000000"/>
          <w:sz w:val="24"/>
          <w:szCs w:val="24"/>
        </w:rPr>
        <w:t xml:space="preserve">During the investigation we found haplotypes that can only be found in specific areas. The HT4 can be found only in Japan while HT7, HT8, and HT12 are only present in Europe. HT6 and HT13 can be found in both Europe and central Asia.</w:t>
      </w:r>
    </w:p>
    <w:p>
      <w:pPr>
        <w:pBdr/>
        <w:spacing w:before="240" w:after="240" w:line="240" w:lineRule="auto"/>
        <w:ind w:left="0" w:right="0"/>
        <w:jc w:val="left"/>
      </w:pPr>
      <w:r>
        <w:rPr>
          <w:color w:val="000000"/>
          <w:sz w:val="24"/>
          <w:szCs w:val="24"/>
        </w:rPr>
        <w:t xml:space="preserve">More samples are recquired in order to find rare haplotypes. We should use newly discovered populations in the investigations, especially from North America where the sycamore lace bug originated and from Asia where the migration routes meet.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94198">
    <w:multiLevelType w:val="hybridMultilevel"/>
    <w:lvl w:ilvl="0" w:tplc="29245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94198">
    <w:abstractNumId w:val="852941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3407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