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VÁRADI MELINDA</w:t>
            </w:r>
          </w:p>
          <w:p w:rsidR="00C275A3" w:rsidRDefault="00A96AEC" w:rsidP="00C275A3">
            <w:pPr>
              <w:pStyle w:val="Hallgatokepzes"/>
            </w:pPr>
            <w:r>
              <w:t>Erdőmérnök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Dr.Lakatos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Tuba Katalin</w:t>
            </w:r>
          </w:p>
          <w:p w:rsidR="00DB4822" w:rsidRDefault="00DB4822" w:rsidP="00E11062">
            <w:pPr>
              <w:pStyle w:val="Konzulensek"/>
            </w:pPr>
            <w:r w:rsidRPr="00DB4822">
              <w:t>intézeti munkatárs,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származású kocsányos tölgy csemeték gubacsképző rovaregyüttese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Kísérletünk során különböző származású kocsányos tölgy csemeték gubacsképző rovaregyüttesét tanulmányoztuk. Kísérleti területünknek a bejcgyertyánosi csemetekert adott otthont, ahol 360 darab csemete állt rendelkezésünkre. A tölgyek három országból származtak (Magyarország, Skócia és Franciaország), elültetésük pedig háromféle kombinációban történt, így beszélhetünk egy-, két-, illetve négycsaládos parcellákról. A parcellákat egyenként 12 darab csemete alkotta. Az ismétlésekkel együtt két blokkban, 30 parcellán, származások szerint 144 francia, 144 magyar és 72 skót tölgy csemetén sikerült folytatnunk megfigyeléseinket.</w:t>
      </w:r>
      <w:r>
        <w:rPr>
          <w:color w:val="000000"/>
          <w:sz w:val="24"/>
          <w:szCs w:val="24"/>
        </w:rPr>
        <w:br/>
        <w:t xml:space="preserve">Felvételezéseink 2009 áprilisában, a feonológiai adatok (rügyfakadási idők) rögzítésével indultak, amit 2010-ben ugyanezen időszakban megismételtünk. A gubacsokozókra vonatkozó vizsgálatok 2012 májusától szeptemberig tartottak. Ebben az időszakban havonta teljes felvételezést végeztük a csemetéken, majd magasságméréssel zártuk a terepi munkánkat.</w:t>
      </w:r>
      <w:r>
        <w:rPr>
          <w:color w:val="000000"/>
          <w:sz w:val="24"/>
          <w:szCs w:val="24"/>
        </w:rPr>
        <w:br/>
        <w:t xml:space="preserve">Vizsgálataink főbb célkitűzései a következőek voltak:</w:t>
      </w:r>
      <w:r>
        <w:rPr>
          <w:color w:val="000000"/>
          <w:sz w:val="24"/>
          <w:szCs w:val="24"/>
        </w:rPr>
        <w:br/>
        <w:t xml:space="preserve">vajon felfedezhetőek-e eltérések a különböző származásoknál a gubacsközösségeket illetően,</w:t>
      </w:r>
      <w:r>
        <w:rPr>
          <w:color w:val="000000"/>
          <w:sz w:val="24"/>
          <w:szCs w:val="24"/>
        </w:rPr>
        <w:br/>
        <w:t xml:space="preserve">egyes morfológiai, illetve fenológiai (növekedési) tulajdonságok gyakorolnak-e hatást a gubacsok számára,</w:t>
      </w:r>
      <w:r>
        <w:rPr>
          <w:color w:val="000000"/>
          <w:sz w:val="24"/>
          <w:szCs w:val="24"/>
        </w:rPr>
        <w:br/>
        <w:t xml:space="preserve">a származás és/vagy az elegyesség befolyásolja-e a gubacsokozók számát?</w:t>
      </w:r>
      <w:r>
        <w:rPr>
          <w:color w:val="000000"/>
          <w:sz w:val="24"/>
          <w:szCs w:val="24"/>
        </w:rPr>
        <w:br/>
        <w:t xml:space="preserve">Eredményeink kiértékelése során arra a következtetésre jutottunk, hogy szignifikáns különbségek mutathatók ki a magyar és külföldi származások gubacsközösségei között. Diverzitási eredményeink jól szemléltetik az eltéréseket, hiszen a francia és skót csemetéken talált fajok diverzitása jóval magasabbnak mutatkozott, mint a hazai tölgyek esetében. Ennek oka az adaptációban keresendő, hiszen a francia és skót tölgyeknek még nem volt elég idejük alkalmazkodni az idegen környezeti körülményekhez.</w:t>
      </w:r>
      <w:r>
        <w:rPr>
          <w:color w:val="000000"/>
          <w:sz w:val="24"/>
          <w:szCs w:val="24"/>
        </w:rPr>
        <w:br/>
        <w:t xml:space="preserve">Eredményeink szerint kapcsolat áll fenn a csemete magassága és annak „gubacsossága” között, viszont a rügyfakadással kapcsolatos adataink nem mutattak összefüggést a gubacsok számával.</w:t>
      </w:r>
      <w:r>
        <w:rPr>
          <w:color w:val="000000"/>
          <w:sz w:val="24"/>
          <w:szCs w:val="24"/>
        </w:rPr>
        <w:br/>
        <w:t xml:space="preserve">További vizsgálatokat szeretnénk folytatni arra vonatkozóan, hogy vajon a térbeli szelekció, vagy a magasabb csemete intenzívebb anyagcseréjének mértéke a döntő, ami alapján a gubacsdarázs kiválasztja az egyedet? A diplomamunkában erre vonatkozóan is szeretnénk hasznos eredményekkel szolgálni.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28262">
    <w:multiLevelType w:val="hybridMultilevel"/>
    <w:lvl w:ilvl="0" w:tplc="60090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28262">
    <w:abstractNumId w:val="964282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710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