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PETER KERTESZ</w:t>
            </w:r>
          </w:p>
          <w:p w:rsidR="00C275A3" w:rsidRDefault="00A96AEC" w:rsidP="00C275A3">
            <w:pPr>
              <w:pStyle w:val="Hallgatokepzes"/>
            </w:pPr>
            <w:r>
              <w:t>Forestry engineer</w:t>
            </w:r>
            <w:r>
              <w:br/>
            </w:r>
            <w:r w:rsidR="00E77B23">
              <w:t>Unified, 13. semester</w:t>
            </w:r>
          </w:p>
          <w:p w:rsidR="00C265CE" w:rsidRPr="009E5FF1" w:rsidRDefault="00E77B23" w:rsidP="00C275A3">
            <w:pPr>
              <w:pStyle w:val="Hallgatokepzes"/>
              <w:rPr>
                <w:b/>
                <w:caps/>
              </w:rPr>
            </w:pPr>
            <w:r>
              <w:t>University of West Hungary</w:t>
            </w:r>
            <w:r w:rsidR="00C275A3">
              <w:br/>
            </w:r>
            <w:r w:rsidR="00DB4822">
              <w:t>Faculty of Forestry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Géza Király, Dr.</w:t>
            </w:r>
          </w:p>
          <w:p w:rsidR="00DB4822" w:rsidRDefault="00DB4822" w:rsidP="00E11062">
            <w:pPr>
              <w:pStyle w:val="Konzulensek"/>
            </w:pPr>
            <w:r w:rsidRPr="00DB4822">
              <w:t>associate professor, NYME EMK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Hyperspectral analysis of the Green spaces in Sopron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environments of the cities are determined by the green areas. The assessment of these areas was not begun till now in Sopron. (The nature protect plan of Sopron for 2010-2015 has mentioned this assessment as primary object.)</w:t>
      </w:r>
      <w:r>
        <w:rPr>
          <w:color w:val="000000"/>
          <w:sz w:val="24"/>
          <w:szCs w:val="24"/>
        </w:rPr>
        <w:br/>
        <w:t xml:space="preserve">The biological activity measure can not be calculated, so some settlement staging can not be done according to the law without these data.</w:t>
      </w:r>
      <w:r>
        <w:rPr>
          <w:color w:val="000000"/>
          <w:sz w:val="24"/>
          <w:szCs w:val="24"/>
        </w:rPr>
        <w:br/>
        <w:t xml:space="preserve">We analysed the green areas of Sopron, based on a novel, airborne remote sensing method, an AISA Eagle II hyperspectral survey. Our first results has shown, that the extension and also the quality of the green areas can be mapped. A multispectral satellite WorldView-2 imagery was also used for a reference.</w:t>
      </w:r>
      <w:r>
        <w:rPr>
          <w:color w:val="000000"/>
          <w:sz w:val="24"/>
          <w:szCs w:val="24"/>
        </w:rPr>
        <w:br/>
        <w:t xml:space="preserve">Several vegetation indexes have been calculated and compared. The best results have been achieved using the ‘modified Simple Ratio Index’ (mSR705).</w:t>
      </w:r>
      <w:r>
        <w:rPr>
          <w:color w:val="000000"/>
          <w:sz w:val="24"/>
          <w:szCs w:val="24"/>
        </w:rPr>
        <w:br/>
        <w:t xml:space="preserve">This research was supported by the TÁMOP 4.2.1/B-09/KONV-2010-0006. project.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6417949">
    <w:multiLevelType w:val="hybridMultilevel"/>
    <w:lvl w:ilvl="0" w:tplc="7905348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6417949">
    <w:abstractNumId w:val="8641794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7269696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