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PÉCSI</w:t>
            </w:r>
          </w:p>
          <w:p w:rsidR="00C275A3" w:rsidRDefault="00A96AEC" w:rsidP="00C275A3">
            <w:pPr>
              <w:pStyle w:val="Hallgatokepzes"/>
            </w:pPr>
            <w:r>
              <w:t>environmental engineer</w:t>
            </w:r>
            <w:r>
              <w:br/>
            </w:r>
            <w:r w:rsidR="00E77B23">
              <w:t>MSc, 2.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PIROSKA SZABÓ</w:t>
            </w:r>
          </w:p>
          <w:p w:rsidR="00DB4822" w:rsidRDefault="00C275A3" w:rsidP="004D7940">
            <w:pPr>
              <w:pStyle w:val="Hallgatokepzes"/>
            </w:pPr>
            <w:r>
              <w:t>environmental engineer</w:t>
            </w:r>
            <w:r w:rsidR="00A96AEC">
              <w:br/>
              <w:t>MSc, 2.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Forestry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MARKÓ</w:t>
            </w:r>
          </w:p>
          <w:p w:rsidR="00DB4822" w:rsidRDefault="00DB4822" w:rsidP="00E11062">
            <w:pPr>
              <w:pStyle w:val="Konzulensek"/>
            </w:pPr>
            <w:r w:rsidRPr="00DB4822">
              <w:t>associate 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Moisture content fluctuation in forest road subgrades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Forest roads are constructed in sensitive environment, frequently in protected areas. As such establishments, they have a great impact on the hydraulic conditions of the region. Water content of the road subgrade has a major effect on the bearing capacity of the pavement as well. Relation of the soil moisture content and the quantity of precipitation is an important point of technical and environmental planning. Linear constructions have great effect to the water management of the soil, so it must get emphasized attention during the planning phase.</w:t>
      </w:r>
      <w:r>
        <w:rPr>
          <w:color w:val="000000"/>
          <w:sz w:val="24"/>
          <w:szCs w:val="24"/>
        </w:rPr>
        <w:br/>
        <w:t xml:space="preserve">The aim of the research work is to quantify the fluctuation of the moisture content in the subgrades of forest roads. First results show relationship between moisture content and vegetation, and between moisture content and cumulated rainfall data.</w:t>
      </w:r>
      <w:r>
        <w:rPr>
          <w:color w:val="000000"/>
          <w:sz w:val="24"/>
          <w:szCs w:val="24"/>
        </w:rPr>
        <w:br/>
        <w:t xml:space="preserve">We dealt with other environmental factors during the research, what might have effects with the changing of moisture content in our soil profile (for example the brook nearby). We have continuously measured the ground-water level beside the soil moisture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21148">
    <w:multiLevelType w:val="hybridMultilevel"/>
    <w:lvl w:ilvl="0" w:tplc="592058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21148">
    <w:abstractNumId w:val="88221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3230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