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VERESS</w:t>
            </w:r>
          </w:p>
          <w:p w:rsidR="00C275A3" w:rsidRDefault="00A96AEC" w:rsidP="00C275A3">
            <w:pPr>
              <w:pStyle w:val="Hallgatokepzes"/>
            </w:pPr>
            <w:r>
              <w:t>Slavistics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Lukács</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Phenomenon of the Symphonization in the Croatian Lyric at the Beginning of the 20th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question of “symphonization” and the appearance of the lyrical symphony and its connections with musical symphonies in Croatian literature pose interesting questions which have not yet attracted the scholarly attention they are due. Interest needs to be paid to examining and answering the questions yet to be clarified</w:t>
      </w:r>
    </w:p>
    <w:p>
      <w:pPr>
        <w:pBdr/>
        <w:spacing w:before="240" w:after="240" w:line="240" w:lineRule="auto"/>
        <w:ind w:left="0" w:right="0"/>
        <w:jc w:val="left"/>
      </w:pPr>
      <w:r>
        <w:rPr>
          <w:color w:val="000000"/>
          <w:sz w:val="24"/>
          <w:szCs w:val="24"/>
        </w:rPr>
        <w:t xml:space="preserve">The topic and aim of this paper is to reveal and compare the common attributes of symphony types and to prove the effect musical symphonies had on lyrical symphonies that developed in literature later on.</w:t>
      </w:r>
    </w:p>
    <w:p>
      <w:pPr>
        <w:pBdr/>
        <w:spacing w:before="240" w:after="240" w:line="240" w:lineRule="auto"/>
        <w:ind w:left="0" w:right="0"/>
        <w:jc w:val="left"/>
      </w:pPr>
      <w:r>
        <w:rPr>
          <w:color w:val="000000"/>
          <w:sz w:val="24"/>
          <w:szCs w:val="24"/>
        </w:rPr>
        <w:t xml:space="preserve">Six symphonies (Sodomski bakanal, Ulica u jesenje jutro, Podnevna simfonija, Pan, Suton, Nokturno) by Miroslav Krleža, one of the most outstanding figures of Croatian literature, were chosen for the examination of the topic and to prove the proposed thesis. Four of them are of special importance.</w:t>
      </w:r>
    </w:p>
    <w:p>
      <w:pPr>
        <w:pBdr/>
        <w:spacing w:before="240" w:after="240" w:line="240" w:lineRule="auto"/>
        <w:ind w:left="0" w:right="0"/>
        <w:jc w:val="left"/>
      </w:pPr>
      <w:r>
        <w:rPr>
          <w:color w:val="000000"/>
          <w:sz w:val="24"/>
          <w:szCs w:val="24"/>
        </w:rPr>
        <w:t xml:space="preserve">These four works of art form a coherent unit which provide a basis for the hypothesis that they can be correlated to the four movements that constitute musical symphonies.</w:t>
      </w:r>
    </w:p>
    <w:p>
      <w:pPr>
        <w:pBdr/>
        <w:spacing w:before="240" w:after="240" w:line="240" w:lineRule="auto"/>
        <w:ind w:left="0" w:right="0"/>
        <w:jc w:val="left"/>
      </w:pPr>
      <w:r>
        <w:rPr>
          <w:color w:val="000000"/>
          <w:sz w:val="24"/>
          <w:szCs w:val="24"/>
        </w:rPr>
        <w:t xml:space="preserve">In order to prove this, the Krleža symphonies were analyzed one-by-one, and then the similarities to the individual movements of musical symphonies were determined. The latter can be observed from the point of view of content, music and edition.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50312">
    <w:multiLevelType w:val="hybridMultilevel"/>
    <w:lvl w:ilvl="0" w:tplc="56254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50312">
    <w:abstractNumId w:val="69750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463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