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MÁRIA ZÁMBÓ</w:t>
            </w:r>
          </w:p>
          <w:p w:rsidR="00C275A3" w:rsidRDefault="00A96AEC" w:rsidP="00C275A3">
            <w:pPr>
              <w:pStyle w:val="Hallgatokepzes"/>
            </w:pPr>
            <w:r>
              <w:t>Germanistik</w:t>
            </w:r>
            <w:r>
              <w:br/>
            </w:r>
            <w:r w:rsidR="00E77B23">
              <w:t>BA,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Dorothea Böhme</w:t>
            </w:r>
          </w:p>
          <w:p w:rsidR="00DB4822" w:rsidRDefault="00DB4822" w:rsidP="00E11062">
            <w:pPr>
              <w:pStyle w:val="Konzulensek"/>
            </w:pPr>
            <w:r w:rsidRPr="00DB4822">
              <w:t>Lector, SZTE BTK</w:t>
            </w:r>
          </w:p>
        </w:tc>
      </w:tr>
      <w:tr w:rsidR="00DB4822" w:rsidTr="00DB4822">
        <w:tc>
          <w:tcPr>
            <w:tcW w:w="9854" w:type="dxa"/>
          </w:tcPr>
          <w:p w:rsidR="00DB4822" w:rsidRPr="00DB4822" w:rsidRDefault="00DB4822" w:rsidP="004D7940">
            <w:pPr>
              <w:pStyle w:val="Konzulensek"/>
            </w:pPr>
            <w:r w:rsidRPr="00DB4822">
              <w:t>Dr. Tünde Katona</w:t>
            </w:r>
          </w:p>
          <w:p w:rsidR="00DB4822" w:rsidRDefault="00DB4822" w:rsidP="00E11062">
            <w:pPr>
              <w:pStyle w:val="Konzulensek"/>
            </w:pPr>
            <w:r w:rsidRPr="00DB4822">
              <w:t>  associate professor ,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Vampire literature’s forms of approach in the German literature of the 18th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composition I demonstrate the forms of approach of the vampire literature in the German literature of the 18th century. Within this theme I compare / contrast Gottfried August Bürger’s ballad, Lenore with Johann Wolfgang Goethe’s ballad, Die Braut von Korint. In the course of my work I render Johannes Fluckinger’s narrative about the affair of Arnold Paole a Serbian hajduk, because this, in 1732 publicized narrative set the vampire hysteria in motion, which inspired the authors of the 18th century, among others Bürger. Afterwards I analyze Heinrich August Ossenfelder’s poem Der Vampir in short, then I demonstrate the formation of Bürger’s and Goethe’s ballads and I construe the two texts. The two works dramatize a parallel synthesis. They introduce three characters, a mother, her daughter, who is a bride and a bridegroom. The characters of the two ballads and the presence of the vampire motives are standing in the center of my comparison. The interpretation of these vampire motives reflects the fact, why is Goethe’s work being considered as the first vampire poem.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55807">
    <w:multiLevelType w:val="hybridMultilevel"/>
    <w:lvl w:ilvl="0" w:tplc="17044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55807">
    <w:abstractNumId w:val="91555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84255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