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ADRIENN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 MA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Közgazdaság- és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Károlyi Géza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szupranacionális társasági formák kialakulása és működése az Európai Unióban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áttekintettem a szupranacionális társasági formák működését meghatározó modern jogi környezet kialakulásához vezető történelmi folyamatot. A társasági jog fejlődésének legjelentősebb ókori és középkori mozzanatai felvillantását követően részletesen foglalkoztam az újkori kodifikációkkal, hiszen ezekben már jól látható, hogy a három nagy európai jogcsalád mennyire különböző válaszokat adott az új kihívásokra. A XIX- XX. században a társasági jog fejlődését az ipari forradalomnak köszönhető gyors és dinamikus gazdasági növekedés határozta meg. Egyre népszerűbbek lettek a részvénytársaságok, így ezek szabályozása vált központi kérdéssé. A második világháborút követő időszakban, az egységes Európa gondolatával egy időben jelent meg az egységes belső piac ötlete, így az ehhez nélkülözhetetlen jogharmonizációs törekvések is megkezdődtek. A harmonizáció kiemelt célja volt a vállalati működés egységes jogi kereteinek megteremtése, így a társasági jogszabályok közelítésének alapjait már a Római Szerződésben megtaláljuk.</w:t>
      </w:r>
      <w:r>
        <w:rPr>
          <w:color w:val="000000"/>
          <w:sz w:val="24"/>
          <w:szCs w:val="24"/>
        </w:rPr>
        <w:br/>
        <w:t xml:space="preserve">A jogharmonizációs folyamat új dimenziójaként értelmezhető a rendeleti úton létrehozott három szupranacionális társasági forma, vagyis az európai gazdasági egyesülés, az európai részvénytársaság, és az európai szövetkezet. Ezek a társaságok közvetlenül az őket létrehozó uniós jogforrásokból nyerik jogalapjukat, esetükben a tagállami jogszabályok csak kiegészítő jelleggel alkalmazhatók. Ezek a társasági formák pillanatnyilag jelképes szerepet töltenek be az Európai Unió, és Magyarország gazdasági életében egyaránt. Meglátásom szerint viszonylagos népszerűtlenségük az egyes formák szabályzásával kapcsolatos problémákról is árulkodik. Ennek megfelelően a társaságokra vonatkozó rendeletek elemzésekor az egyes formák előnyeit és hátrányait kerestem, valamint szükség esetén saját javaslatokat is megfogalmaztam. A legjelentősebb probléma mindegyik forma esetén az volt, hogy a tagállamok közötti székhelyáthelyezés folyamata túlkomplikált, számos költséggel és adminisztratív teherrel jár együtt. Éppen ezért kulcsfontosságúnak tartom a székhelyáthelyezésre vonatkozó rugalmasabb szabályok kialakítását, hiszen ez elősegítené a belső piac hatékonyabb működését.</w:t>
      </w:r>
      <w:r>
        <w:rPr>
          <w:color w:val="000000"/>
          <w:sz w:val="24"/>
          <w:szCs w:val="24"/>
        </w:rPr>
        <w:br/>
        <w:t xml:space="preserve">A téma fontosságát és aktualitását jelzi, hogy az Európai Bizottság széleskörű egyeztetést kezdeményezett az európai társasági jog jövőjéről 2012. február 20-án, melyek célja annak felmérése, hogy a meglévő szabályozási keret mennyire felel meg a folyamatosan változó igényeknek.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695409">
    <w:multiLevelType w:val="hybridMultilevel"/>
    <w:lvl w:ilvl="0" w:tplc="85542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695409">
    <w:abstractNumId w:val="636954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85720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