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HORVÁTH </w:t>
            </w:r>
          </w:p>
          <w:p w:rsidR="00C275A3" w:rsidRDefault="00A96AEC" w:rsidP="00C275A3">
            <w:pPr>
              <w:pStyle w:val="Hallgatokepzes"/>
            </w:pPr>
            <w:r>
              <w:t>international economy and business MA</w:t>
            </w:r>
            <w:r>
              <w:br/>
            </w:r>
            <w:r w:rsidR="00E77B23">
              <w:t>MA,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Károlyi, Ph.D. </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and operation of the supranational company forms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have given a survey of the historical process that lead up to nowadays’ modern legal environment. After flashing the most important stages in the ancient times and the middle ages, the codifications of the modern history are highlighted because with their help it can be seen that how different solutions were provided for the same challenges by the three main groups of countries in Europe. In the 19-20th centuries, the industrial revolution had a major effect on the development of company law as the joint-stock companies have became more popular and their regulation had became the key issue. After the Second World War, the idea of the common Europe came to existence, and with this, the common market as well. Because of the diverse features of the European countries, in order to make the common market efficient, the legal harmonisation began between the countries. As providing standardized legal conditions for companies was one of the most important goals, the fundaments of the company law harmonisation can be found in the Treaty of Rome.</w:t>
      </w:r>
      <w:r>
        <w:rPr>
          <w:color w:val="000000"/>
          <w:sz w:val="24"/>
          <w:szCs w:val="24"/>
        </w:rPr>
        <w:br/>
        <w:t xml:space="preserve">The supranational company forms, the European Economic Interest Grouping, the Societas Europaea and the Societas Cooperativa Europaea can be interpreted as a higher level of legal harmonisation in the European Union. These company forms are created by statutes, and the proper law of these companies are the statutes that create them, regardless of the country of operation. Nowadays, these company structures only have a symbolic role in the common market of Europe. In my opinion, this is at least partly due to the problems concerning the current legislation. This is why, in my analysis, I was trying to find the advantages and drawbacks of each supranational company structure. The most crucial point is the fact that the companies’ movement between member states is far too complicated, with high administrative and other costs. As the companies’ free movement is crucial in order to make the operation of the common market more efficient, legislation should be eased.</w:t>
      </w:r>
      <w:r>
        <w:rPr>
          <w:color w:val="000000"/>
          <w:sz w:val="24"/>
          <w:szCs w:val="24"/>
        </w:rPr>
        <w:br/>
        <w:t xml:space="preserve">The importance of the topic is shown by the consultation started by the European Committee in 2012 concerning the future of the European company law. The aim of the consultation is to find out whether today’s legislation is able to suit the changing needs of the common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03067">
    <w:multiLevelType w:val="hybridMultilevel"/>
    <w:lvl w:ilvl="0" w:tplc="34520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03067">
    <w:abstractNumId w:val="93603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338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