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REZES</w:t>
            </w:r>
          </w:p>
          <w:p w:rsidR="00C275A3" w:rsidRDefault="00A96AEC" w:rsidP="00C275A3">
            <w:pPr>
              <w:pStyle w:val="Hallgatokepzes"/>
            </w:pPr>
            <w:r>
              <w:t>BA in Public Governance</w:t>
            </w:r>
            <w:r>
              <w:br/>
            </w:r>
            <w:r w:rsidR="00E77B23">
              <w:t>BA, 7.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Czeglédi Ph.D.</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of Fiscal Processes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Most of the developed countries have growing debt to GDP ratios, but only few of them have solvency problems at the same time. The question as to what fiscal sustainability exactly means is definitely relevant in these years.</w:t>
      </w:r>
    </w:p>
    <w:p>
      <w:pPr>
        <w:pBdr/>
        <w:spacing w:before="240" w:after="240" w:line="240" w:lineRule="auto"/>
        <w:ind w:left="0" w:right="0"/>
        <w:jc w:val="left"/>
      </w:pPr>
      <w:r>
        <w:rPr>
          <w:color w:val="000000"/>
          <w:sz w:val="24"/>
          <w:szCs w:val="24"/>
        </w:rPr>
        <w:t xml:space="preserve">The first part of this paper is a survey of the history of the rising global debt and consists some economic theories which can explain this phenomenon such as Keynesian theory, monetarism, political and institutional economics. I use three different mathematical models that can make sense of the debt sustainability issue. These models can help political decision makers to stop the growth of debt to GDP ratio. They examine the relationship of the real growth and the real interest rate, as a result, they determine the ratio of the primary fiscal balance that can stabilize the year-to-year path of the debt.</w:t>
      </w:r>
    </w:p>
    <w:p>
      <w:pPr>
        <w:pBdr/>
        <w:spacing w:before="240" w:after="240" w:line="240" w:lineRule="auto"/>
        <w:ind w:left="0" w:right="0"/>
        <w:jc w:val="left"/>
      </w:pPr>
      <w:r>
        <w:rPr>
          <w:color w:val="000000"/>
          <w:sz w:val="24"/>
          <w:szCs w:val="24"/>
        </w:rPr>
        <w:t xml:space="preserve">After this general description I come to analyze the Hungarian fiscal processes. One of the main conclusions of the paper is that in Hungary the cause of the high debt ratio is not the economic recession. The debt patch depends on political decisions and institutional constraints to a considerable extent. Is the Hungarian fiscal policy sustainable? It is not easy to answer this question. I analyze the past and the next few years with the three models discussed before, but the results are not straightforward. In the past the fiscal policy was unsustainable, nowadays it can produce steady debt ratio. Finally in the future a decreasing ratio is possible to be achieved, but the rate of its decrease will be slow and unfortunately it needs a long-lasting and relatively high primary fiscal surplus.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01347">
    <w:multiLevelType w:val="hybridMultilevel"/>
    <w:lvl w:ilvl="0" w:tplc="99151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01347">
    <w:abstractNumId w:val="88901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757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