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CSABAI DONÁT</w:t>
            </w:r>
          </w:p>
          <w:p w:rsidR="00C275A3" w:rsidRDefault="00A96AEC" w:rsidP="00C275A3">
            <w:pPr>
              <w:pStyle w:val="Hallgatokepzes"/>
            </w:pPr>
            <w:r>
              <w:t>Nemzetközi Gazdaság és Gazdálkodás</w:t>
            </w:r>
            <w:r>
              <w:br/>
            </w:r>
            <w:r w:rsidR="00E77B23">
              <w:t>MA, 4. félév</w:t>
            </w:r>
          </w:p>
          <w:p w:rsidR="00C265CE" w:rsidRPr="009E5FF1" w:rsidRDefault="00E77B23" w:rsidP="00C275A3">
            <w:pPr>
              <w:pStyle w:val="Hallgatokepzes"/>
              <w:rPr>
                <w:b/>
                <w:caps/>
              </w:rPr>
            </w:pPr>
            <w:r>
              <w:t>Debreceni Egyetem</w:t>
            </w:r>
            <w:r w:rsidR="00C275A3">
              <w:br/>
            </w:r>
            <w:r w:rsidR="00DB4822">
              <w:t>Közgazdaság- és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Erdey László</w:t>
            </w:r>
          </w:p>
          <w:p w:rsidR="00DB4822" w:rsidRDefault="00DB4822" w:rsidP="00E11062">
            <w:pPr>
              <w:pStyle w:val="Konzulensek"/>
            </w:pPr>
            <w:r w:rsidRPr="00DB4822">
              <w:t>egyetemi docens,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exportszerkezet fejlődése Kínában, empirikus vizsgálatok a szofisztikációs indexek alkalmazásával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dolgozat elsődleges célja az volt, hogy a Hausmann et al. (2006) illetve Lall et al. (2006) által létrehozott új, szofisztikációs mutatócsalád alkalmazása, valamint az ehhez kapcsolódó irodalom bemutatása révén, az Kína exportjának dinamikus volumen növekedésén túl annak minőségi átalakulásáról is megállapítást tehessen a vizsgálódó. Hausmann et al. (2006) illetve Rodrik (2006) egyaránt erős pozitív lineáris kapcsolatot talált egy gazdaság export-szofisztikációja illetve egy főre eső jövedelme között. Ugyanakkor e két publikáció felhívta a figyelmet Kína különlegességére is, melynek kiviteli fejlettsége messze meghaladta a GDP/fő mutatója által elvárhatót.</w:t>
      </w:r>
    </w:p>
    <w:p>
      <w:pPr>
        <w:widowControl w:val="on"/>
        <w:pBdr/>
        <w:spacing w:before="240" w:after="240" w:line="240" w:lineRule="auto"/>
        <w:ind w:left="0" w:right="0"/>
        <w:jc w:val="left"/>
      </w:pPr>
      <w:r>
        <w:rPr>
          <w:color w:val="000000"/>
          <w:sz w:val="24"/>
          <w:szCs w:val="24"/>
        </w:rPr>
        <w:br/>
        <w:t xml:space="preserve">Hausmann et al. (2006) publikációja szerint a közepes jövedelmű országok esetében az EXPY 10%-os emelkedése tíz év alatt 0,35-0,37 százalékponttal gyorsíthatta az egy főre eső jövedelem bővülését. A konkrétan Kínát vizsgáló publikációk közül Xu–Lu (2009) elemzése arra világít rá, hogy az ázsiai ország export-szofisztikációs emelkedését jelentős részben a külföldi tulajdonú vállalatot létrehozó FDI beáramlás bővülése magyarázta. Jarreau–Poncet (2011) szerint viszont csak a hazai, normál export tevékenységet végző vállalatok kivitelének szofisztikáció emelkedése növelheti a GDP/fő bővülésének ütemét.</w:t>
      </w:r>
      <w:r>
        <w:rPr>
          <w:color w:val="000000"/>
          <w:sz w:val="24"/>
          <w:szCs w:val="24"/>
        </w:rPr>
        <w:br/>
        <w:t xml:space="preserve">Szintetizálva e két kutatást, kiviláglik, hogy a kínai export fejlődése elsődlegesen ott ment végbe, ahol az nem vonta maga után az egy főre eső jövedelem növekedést.</w:t>
      </w:r>
    </w:p>
    <w:p>
      <w:pPr>
        <w:widowControl w:val="on"/>
        <w:pBdr/>
        <w:spacing w:before="240" w:after="240" w:line="240" w:lineRule="auto"/>
        <w:ind w:left="0" w:right="0"/>
        <w:jc w:val="left"/>
      </w:pPr>
      <w:r>
        <w:rPr>
          <w:color w:val="000000"/>
          <w:sz w:val="24"/>
          <w:szCs w:val="24"/>
        </w:rPr>
        <w:br/>
        <w:t xml:space="preserve">A dolgozat saját empirikus kutatása megerősítette az ázsiai ország kétarcúságát a tekintetben, hogy bár export-szerkezetében még mindig jelentős szerepet játszik a munkaintenzív, természeti erőforrás alapú termékek exportálása, a magas technológia-igényű termékek kivitele is egyre erőteljesebb jelenik meg benne. A kutatás ezzel szemben nem tudja alátámasztani az exportszerkezet fejlődését, ugyanis az export-szofisztikációs mátrix ezzel ellentétes folyamatokat tár fel. Ez alatt főként a legmagasabb szofisztikációs harmadba eső termékek teljes kivitelhez viszonyított részarányának visszaesése érthető 1997 és 2007 között.</w:t>
      </w:r>
    </w:p>
    <w:p>
      <w:pPr>
        <w:widowControl w:val="on"/>
        <w:pBdr/>
        <w:spacing w:before="240" w:after="240" w:line="240" w:lineRule="auto"/>
        <w:ind w:left="0" w:right="0"/>
        <w:jc w:val="left"/>
      </w:pPr>
      <w:r>
        <w:rPr>
          <w:color w:val="000000"/>
          <w:sz w:val="24"/>
          <w:szCs w:val="24"/>
        </w:rPr>
        <w:br/>
        <w:t xml:space="preserve">A mátrixok ugyanakkor rávilágítanak arra, hogy a kínai exportban egyre jelentősebb szerep tulajdonítható a fragmentáció folyamatával együtt járó termelés-kihelyezésnek. A jövőre nézve Kína számára kritikus fontosságú lehet, hogy export bővülését olyan területekre koncentrálja, amelyek maguk után vonják az egy főre eső jövedelem növekedését is (hazai tulajdonú, normál export).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45279">
    <w:multiLevelType w:val="hybridMultilevel"/>
    <w:lvl w:ilvl="0" w:tplc="73941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45279">
    <w:abstractNumId w:val="22945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422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