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DONÁT CSABAI</w:t>
            </w:r>
          </w:p>
          <w:p w:rsidR="00C275A3" w:rsidRDefault="00A96AEC" w:rsidP="00C275A3">
            <w:pPr>
              <w:pStyle w:val="Hallgatokepzes"/>
            </w:pPr>
            <w:r>
              <w:t>International Economy and Business</w:t>
            </w:r>
            <w:r>
              <w:br/>
            </w:r>
            <w:r w:rsidR="00E77B23">
              <w:t>MA, 4. semester</w:t>
            </w:r>
          </w:p>
          <w:p w:rsidR="00C265CE" w:rsidRPr="009E5FF1" w:rsidRDefault="00E77B23" w:rsidP="00C275A3">
            <w:pPr>
              <w:pStyle w:val="Hallgatokepzes"/>
              <w:rPr>
                <w:b/>
                <w:caps/>
              </w:rPr>
            </w:pPr>
            <w:r>
              <w:t>University of Debrecen</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Laszlo Erdey</w:t>
            </w:r>
          </w:p>
          <w:p w:rsidR="00DB4822" w:rsidRDefault="00DB4822" w:rsidP="00E11062">
            <w:pPr>
              <w:pStyle w:val="Konzulensek"/>
            </w:pPr>
            <w:r w:rsidRPr="00DB4822">
              <w:t>associate professor,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Transformation of China’s Export Structure, an Empirical Analysis Using Sophistication Indices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research was – by using the sophistication indeces of Hausmann et al. (2006) and Lall et al. (2006) – to provide more information about China’s export quality. Hausmann et al. (2006) and Rodrik (2006) both found a strong positive linear connection between the export sophistication and the GDP per capita of an economy. They also pointed out the fact of China’s specialty, refering to the empirical study of Hausmann et al. (2006), which showed that the Asian country’s export sophistication was at a much higher level in 2003, that one would expect based on China’s GDP per capita.</w:t>
      </w:r>
    </w:p>
    <w:p>
      <w:pPr>
        <w:widowControl w:val="on"/>
        <w:pBdr/>
        <w:spacing w:before="240" w:after="240" w:line="240" w:lineRule="auto"/>
        <w:ind w:left="0" w:right="0"/>
        <w:jc w:val="left"/>
      </w:pPr>
      <w:r>
        <w:rPr>
          <w:color w:val="000000"/>
          <w:sz w:val="24"/>
          <w:szCs w:val="24"/>
        </w:rPr>
        <w:t xml:space="preserve">The starting point was the study of Hausmann et al. (2006), which empirically confirmed that in case of a mid-level income country, a 10% increase in the EXPY index can boost the growth of the GDP per capita by 0,35-0,37 percentage points in 10 years. In case of the studies which were only concentrating on China, Xu-Lu (2009) confirmed that the increasing level of export sophistication was mostly inspired by the wholly foreign companies’ export activity. According to Jarreau-Poncet however, only the export sophistication of domestic and normal export activity can boost an economy’s GDP per capita. As a summary of these publications, this study highlights the fact, that the Chinese export sophistication does not boost the country’s average income.</w:t>
      </w:r>
    </w:p>
    <w:p>
      <w:pPr>
        <w:widowControl w:val="on"/>
        <w:pBdr/>
        <w:spacing w:before="240" w:after="240" w:line="240" w:lineRule="auto"/>
        <w:ind w:left="0" w:right="0"/>
        <w:jc w:val="left"/>
      </w:pPr>
      <w:r>
        <w:rPr>
          <w:color w:val="000000"/>
          <w:sz w:val="24"/>
          <w:szCs w:val="24"/>
        </w:rPr>
        <w:t xml:space="preserve">Based on the empirical research provided in this publication, one can argue that China is rather a two-faced country. This means that although the share of the most labour- and natural resource-intensive products is still relatively high in the country’s total export, the export share of the most skill- and technology-intensive products have become larger and larger in the past few decades. Despite the conclusion of previous studies, this publication cannot confirm the rising sophistication of China’s export between 1997 and 2007. Comparing China’s export matrix in 1997 and 2007 shows a downward trend of the most sophisticated products share in the country’s export.</w:t>
      </w:r>
    </w:p>
    <w:p>
      <w:pPr>
        <w:widowControl w:val="on"/>
        <w:pBdr/>
        <w:spacing w:before="240" w:after="240" w:line="240" w:lineRule="auto"/>
        <w:ind w:left="0" w:right="0"/>
        <w:jc w:val="left"/>
      </w:pPr>
      <w:r>
        <w:rPr>
          <w:color w:val="000000"/>
          <w:sz w:val="24"/>
          <w:szCs w:val="24"/>
        </w:rPr>
        <w:t xml:space="preserve">Nevertheless this empirical study handled separately the processing and the normal export activity, since the former is connected to the fragmentation phenomena and can be found in a different place in the export matrix. In the future it can be crucial for China to support those export activities, which lead to a higher level of GDP per capita (domestic, normal export).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87252">
    <w:multiLevelType w:val="hybridMultilevel"/>
    <w:lvl w:ilvl="0" w:tplc="44908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87252">
    <w:abstractNumId w:val="235872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910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