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MINTÁL</w:t>
            </w:r>
          </w:p>
          <w:p w:rsidR="00C275A3" w:rsidRDefault="00A96AEC" w:rsidP="00C275A3">
            <w:pPr>
              <w:pStyle w:val="Hallgatokepzes"/>
            </w:pPr>
            <w:r>
              <w:t>History - Curriculum Development  MA program</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László Tóth PhD</w:t>
            </w:r>
          </w:p>
          <w:p w:rsidR="00DB4822" w:rsidRDefault="00DB4822" w:rsidP="00E11062">
            <w:pPr>
              <w:pStyle w:val="Konzulensek"/>
            </w:pPr>
            <w:r w:rsidRPr="00DB4822">
              <w:t>associate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Sigismund Bathory and Maria Christierna (The private and public life of prince Sigismund)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analysed the four years, marriage (1595–1599) between prince Sigismund Báthory and the princess Maria Christierna of Habsburg, – as an important sphere of private life and its possible effects on the public life of Sigismund – with the help of published sources (letters and contemporary historians) and secondary literature. The young Transsylvanian prince seceded from the Ottoman Porte at the time of the Fifteen Years, War (1593–1606) and allied with the Habsburg Empire. This alliance was strengthened by the Pact of Prague with Emperor Rudolph and by the dynastic marriage in 1595. Sigismund got into contact with the most powerful dynasty of Europe. It meant risks, because the Ottomans could attack Transsylvania at any time. This dynastic marriage of interest proved to be a failure. Sigismund was not able to fulfill his duties as a husband because of natural or other reasons, and that meant a psychical burden for Sigismund and his wife, testified by the letters of Maria Christierna. The failure of Sigismund to found a dynasty meant a public fiasco, too. In the beginning the political and military successes of Sigismund compensated the failure of his marriage. Later the military defeats reinforced the fiasco of the private life, and resulted in the crisis of the marriage. His failure as a husband reflected in his political activity as well. Sigismund tried to find solution in divorce in the sphere of his private life, and in abdication in the sphere of public life. He wanted a safe and profitable country and a high ecclesiastical office (cardinal) for himself. He wanted to transfer his principality to a person, who would defend it against the Ottomans. He abdicated more times even in this four year,s term. It was a personal tragedy of Sigismund, that neither his personal aims, neither the defence of Transsylvania could be achieved, just his separation from Maria Christierna. Prince Sigismund has been characterised by his contemporaries and later historians as a mentally ill, but ambitious prince. In my view, the failure of his marriage, together with the political and military defeats, had a major role in his abdications and political decisions.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06835">
    <w:multiLevelType w:val="hybridMultilevel"/>
    <w:lvl w:ilvl="0" w:tplc="15470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06835">
    <w:abstractNumId w:val="27706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731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