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PAP</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Kraiciné Szokoly PhD</w:t>
            </w:r>
          </w:p>
          <w:p w:rsidR="00DB4822" w:rsidRDefault="00DB4822" w:rsidP="00E11062">
            <w:pPr>
              <w:pStyle w:val="Konzulensek"/>
            </w:pPr>
            <w:r w:rsidRPr="00DB4822">
              <w:t>associate professor, ELTE PPK</w:t>
            </w:r>
          </w:p>
        </w:tc>
      </w:tr>
      <w:tr w:rsidR="00DB4822" w:rsidTr="00DB4822">
        <w:tc>
          <w:tcPr>
            <w:tcW w:w="9854" w:type="dxa"/>
          </w:tcPr>
          <w:p w:rsidR="00DB4822" w:rsidRPr="00DB4822" w:rsidRDefault="00DB4822" w:rsidP="004D7940">
            <w:pPr>
              <w:pStyle w:val="Konzulensek"/>
            </w:pPr>
            <w:r w:rsidRPr="00DB4822">
              <w:t>Renáta Lakos</w:t>
            </w:r>
          </w:p>
          <w:p w:rsidR="00DB4822" w:rsidRDefault="00DB4822" w:rsidP="00E11062">
            <w:pPr>
              <w:pStyle w:val="Konzulensek"/>
            </w:pPr>
            <w:r w:rsidRPr="00DB4822">
              <w:t>disability coordinator,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Adults with special learning needs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topic is focus on the adults with special learning needs (SLN), in the view-point of education. The main question is: what do the adult educator’ students know about this special learning target group of adult population. Do they have enough knowledge, competencies and attitudes to educate them?</w:t>
      </w:r>
    </w:p>
    <w:p>
      <w:pPr>
        <w:widowControl w:val="on"/>
        <w:pBdr/>
        <w:spacing w:before="240" w:after="240" w:line="240" w:lineRule="auto"/>
        <w:ind w:left="0" w:right="0"/>
        <w:jc w:val="left"/>
      </w:pPr>
      <w:r>
        <w:rPr>
          <w:color w:val="000000"/>
          <w:sz w:val="24"/>
          <w:szCs w:val="24"/>
        </w:rPr>
        <w:t xml:space="preserve">SLN is a learning trouble, failure, but it isn’t a handicap or disability. People with it are a significant group of adult learner, target group of adult education and Andragogy Science. They cannot return to the labour market in the short term typically because of their low level of schooling, lack of basic competencies and missing motivation. As a principal characteristic, persons who are handicapped in training are not disabled from a medical point of view. However, their daily routine, low level of education as well as lack of personal and social competencies make them handicapped when they try to enter the labour market or to make use of employment generating facilities and adult education institutions. (Kraiciné, 2012)</w:t>
      </w:r>
    </w:p>
    <w:p>
      <w:pPr>
        <w:widowControl w:val="on"/>
        <w:pBdr/>
        <w:spacing w:before="240" w:after="240" w:line="240" w:lineRule="auto"/>
        <w:ind w:left="0" w:right="0"/>
        <w:jc w:val="left"/>
      </w:pPr>
      <w:r>
        <w:rPr>
          <w:color w:val="000000"/>
          <w:sz w:val="24"/>
          <w:szCs w:val="24"/>
        </w:rPr>
        <w:t xml:space="preserve">My hypotheses are Andragogy students aren’t able to successfully teaching people with SLN; SLN is a handicap, but they cope with it and it’s corrigible with help and support; need to grow up cooperation with Andragogy and other disciplines to help to people with SLN.</w:t>
      </w:r>
    </w:p>
    <w:p>
      <w:pPr>
        <w:widowControl w:val="on"/>
        <w:pBdr/>
        <w:spacing w:before="240" w:after="240" w:line="240" w:lineRule="auto"/>
        <w:ind w:left="0" w:right="0"/>
        <w:jc w:val="left"/>
      </w:pPr>
      <w:r>
        <w:rPr>
          <w:color w:val="000000"/>
          <w:sz w:val="24"/>
          <w:szCs w:val="24"/>
        </w:rPr>
        <w:t xml:space="preserve">The research methods are: analyses of publications and documents, grouped interview and questionnaire, standard list of queries with Andragogy students in ELTE-PPK, in the academic year of 2012-2013.</w:t>
      </w:r>
    </w:p>
    <w:p>
      <w:pPr>
        <w:widowControl w:val="on"/>
        <w:pBdr/>
        <w:spacing w:before="240" w:after="240" w:line="240" w:lineRule="auto"/>
        <w:ind w:left="0" w:right="0"/>
        <w:jc w:val="left"/>
      </w:pPr>
      <w:r>
        <w:rPr>
          <w:color w:val="000000"/>
          <w:sz w:val="24"/>
          <w:szCs w:val="24"/>
        </w:rPr>
        <w:t xml:space="preserve">According to results it isn’t equality to people with SLN in the education and the labour market. Andragogy students don’t have any knowledge and competences to teach people with special need, so it should be cooperation several sciences.</w:t>
      </w:r>
      <w:r>
        <w:rPr>
          <w:color w:val="000000"/>
          <w:sz w:val="24"/>
          <w:szCs w:val="24"/>
        </w:rPr>
        <w:br/>
        <w:t xml:space="preserve">We also suggest introducing in Andragogy the notion of ‘adult with special learning needs’, similar to that of ‘children with special educational needs’ used in pedagogy. (Kraiciné, 2012)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28724">
    <w:multiLevelType w:val="hybridMultilevel"/>
    <w:lvl w:ilvl="0" w:tplc="24130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28724">
    <w:abstractNumId w:val="754287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5352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