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SZABOLCS FAGYAL</w:t>
            </w:r>
          </w:p>
          <w:p w:rsidR="00C275A3" w:rsidRDefault="00A96AEC" w:rsidP="00C275A3">
            <w:pPr>
              <w:pStyle w:val="Hallgatokepzes"/>
            </w:pPr>
            <w:r>
              <w:t>Institute of English and American Studies</w:t>
            </w:r>
            <w:r>
              <w:br/>
            </w:r>
            <w:r w:rsidR="00E77B23">
              <w:t>MA,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Bényei</w:t>
            </w:r>
          </w:p>
          <w:p w:rsidR="00DB4822" w:rsidRDefault="00DB4822" w:rsidP="00E11062">
            <w:pPr>
              <w:pStyle w:val="Konzulensek"/>
            </w:pPr>
            <w:r w:rsidRPr="00DB4822">
              <w:t>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Presence of Transference and the Ethical Aspect of Narrating in Füst Milán's A feleségem története and Ford Madox Ford's The Good Soldier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primary aim of my paper is to give a comparative analysis of two modernist novels: Ford Madox Ford's The Good Soldier and Füst Milán's A feleségem története, with special attention to the technical and ethical difficulties that arise from the process of narrating. Both stories are reminiscences of betrayed husbands who, narrating in first person, try to retrospectively reconstruct, arrange, and settle the past events of their lives by telling their stories to a "silent listener," that is, to the implied reader. Asking for sympathy and vindication, they regularly address the listener in a very peculiar voice which, in both cases, is characterized by what Bakhtin calls skaz. Thus, their use of language is inherently performative – in these two novels, composition is not determined by the plot, but the narrating voice dominates throughout the text. In Narrative Ethics, Adam Zachary Newton claims that where first person narration shapes the plot, any attempt of a thorough interpretation should primarily focus on the mode of representation.</w:t>
      </w:r>
    </w:p>
    <w:p>
      <w:pPr>
        <w:widowControl w:val="on"/>
        <w:pBdr/>
        <w:spacing w:before="240" w:after="240" w:line="240" w:lineRule="auto"/>
        <w:ind w:left="0" w:right="0"/>
        <w:jc w:val="left"/>
      </w:pPr>
      <w:r>
        <w:rPr>
          <w:color w:val="000000"/>
          <w:sz w:val="24"/>
          <w:szCs w:val="24"/>
        </w:rPr>
        <w:br/>
        <w:t xml:space="preserve">Exploring the characteristics of skaz, the other aspect, namely, the moment of "turning-towards" the listener also becomes salient. This striking feature of the narrator's language use entails the listener's proximity to the story-teller and to the characters. These two aspects of skaz create a triangle between the narrator, the listener, and the arbitrarily represented fictive characters. This triangle, by definition, is inseparable from transference and ethicity, since psychoanalytic transference is pervasively present in both texts, and it defines a profoundly ethical conception of intersubjectivity.</w:t>
      </w:r>
    </w:p>
    <w:p>
      <w:pPr>
        <w:widowControl w:val="on"/>
        <w:pBdr/>
        <w:spacing w:before="240" w:after="240" w:line="240" w:lineRule="auto"/>
        <w:ind w:left="0" w:right="0"/>
        <w:jc w:val="left"/>
      </w:pPr>
      <w:r>
        <w:rPr>
          <w:color w:val="000000"/>
          <w:sz w:val="24"/>
          <w:szCs w:val="24"/>
        </w:rPr>
        <w:t xml:space="preserve">This triangular ethical structure is further saturated by other features of the narratives: a confessional overtone is prevalent in both novels; the protagonists expect the listener to be what Lacan calls le sujet suppose savoir; and both texts contain mise-en-abyme episodes of storytelling. Analysing all these aspects reveals that the narrators try to escape the burden of ethical responsibility when representing their deceased wives and other characters, but eventually, these attempts fail. Instead, by the end of the novels, it becomes much more important how the narrated story relates to "reality," and how it changes the narrators' attachment for their respective late wives.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49785">
    <w:multiLevelType w:val="hybridMultilevel"/>
    <w:lvl w:ilvl="0" w:tplc="18249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49785">
    <w:abstractNumId w:val="864497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1625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