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SÁRKÖZI</w:t>
            </w:r>
          </w:p>
          <w:p w:rsidR="00C275A3" w:rsidRDefault="00A96AEC" w:rsidP="00C275A3">
            <w:pPr>
              <w:pStyle w:val="Hallgatokepzes"/>
            </w:pPr>
            <w:r>
              <w:t>North American Studies</w:t>
            </w:r>
            <w:r>
              <w:br/>
            </w:r>
            <w:r w:rsidR="00E77B23">
              <w:t>MA, 3.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Glant</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Beneath the Trenchcoat: The Character of Raymond Chandler's Philip Marlowe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focuses on Raymond Chandler, the American crime fiction writer, and his main creation, Philip Marlowe. Through Marlowe’s figure I analyze the characteristics and personal traits of the classic character of the American hard-boiled crime fiction: those of the private investigator. The research is based on Chandler’s original novels and two of their film adaptations.</w:t>
      </w:r>
      <w:r>
        <w:rPr>
          <w:color w:val="000000"/>
          <w:sz w:val="24"/>
          <w:szCs w:val="24"/>
        </w:rPr>
        <w:br/>
        <w:t xml:space="preserve">The outlined character is made of two parts: the physical, sexual side pairs up with the strict ethical code that often overwrites the former element. The analysis makes use of the Hollywood classic from 1946 The Big Sleep that is also a milestone in the history of film noir, and of Robert Altman’s The Long Goodbye from 1973. The films can be respectively identified with the aforementioned two halves: while Humphrey Bogart’s Marlowe of 1946 represents a strongly masculine icon in an almost positive-toned movie – which trait makes the movie radically different from its original novel –, on Elliot Gould’s 1973 representation can be felt the impotence of the average American experienced during and in the wake of the Vietnam War which Marlowe tries to (unsuccessfully) overcome with his ethics familiar from the novels. By deconstructing the character, Altman created the “ultimate” Marlowe feature through which, in the present paper, the investigator’s ethical/emotional personality can be amply analyzed. Since both films differ at points from their original Chandler novels, the paper tries to find an answer to what degree the screenwriters followed the plots of the novels; why they chose to differ from them; what results did these changes give; and which one of the filmic interpretations comes closer to the original image of the private investigator as imagined by the author.</w:t>
      </w:r>
      <w:r>
        <w:rPr>
          <w:color w:val="000000"/>
          <w:sz w:val="24"/>
          <w:szCs w:val="24"/>
        </w:rPr>
        <w:br/>
        <w:t xml:space="preserve">The first part of the paper entails the question of the possibility a homosexual character. In the case of a determined, masculine protagonist questioning the sexual orientation of the character is self-evident. Taking into consideration the indications in Chandler’s first two novels, the censorial Production (“Hays”) Code that was at its zenith in Hollywood of the 1940s, the thinly veiled references that were put in The Big Sleep despite the authority of the Production Code, and the academic arguments in favor of Marlowe’s homosexuality, the essay analyzes this question and argues for, instead of Marlowe’s real homosexuality, a homosocial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02112">
    <w:multiLevelType w:val="hybridMultilevel"/>
    <w:lvl w:ilvl="0" w:tplc="478202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02112">
    <w:abstractNumId w:val="424021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94815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