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HAJDU LAURA SÁRA</w:t>
            </w:r>
          </w:p>
          <w:p w:rsidR="00C275A3" w:rsidRDefault="00A96AEC" w:rsidP="00C275A3">
            <w:pPr>
              <w:pStyle w:val="Hallgatokepzes"/>
            </w:pPr>
            <w:r>
              <w:t>Ipai termék- és formatervező 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Rejtő Sándor Könnyűipari és Környezetmérnöki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Deés Enikő</w:t>
            </w:r>
          </w:p>
          <w:p w:rsidR="00DB4822" w:rsidRDefault="00DB4822" w:rsidP="00E11062">
            <w:pPr>
              <w:pStyle w:val="Konzulensek"/>
            </w:pPr>
            <w:r w:rsidRPr="00DB4822">
              <w:t>DLA egyetemi docens, OE RKK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Excentrikus mintakollekció tervezése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olyan nyomott minták tervezése, amelyek egymással kapcsolatban állnak, és egy térben is jól használhatóak. A kollekció a Gardénia által kiírt pályázat követelményei szerint készült, de több változatot és néhány gyakorlati alkalmazást is tartalmaz. 2013/14 textiltrendekhez igazodnak, azon belül az „excentrikus” típus hívószavaira felelnek.</w:t>
      </w:r>
      <w:r>
        <w:rPr>
          <w:color w:val="000000"/>
          <w:sz w:val="24"/>
          <w:szCs w:val="24"/>
        </w:rPr>
        <w:br/>
        <w:t xml:space="preserve">Az elsődleges ihletet William Morris és az Arts &amp; Crafts mozgalom tapétái és kárpitjai szolgáltatták, valamint az Art Nouveau lendületes virágmintái. A virág formája a pünkösdrózsán alapszik, egy magyar népdal inspirálta.</w:t>
      </w:r>
      <w:r>
        <w:rPr>
          <w:color w:val="000000"/>
          <w:sz w:val="24"/>
          <w:szCs w:val="24"/>
        </w:rPr>
        <w:br/>
        <w:t xml:space="preserve">A pályázat két tervet kért, egyet fényáteresztő- és egyet sötétítőfüggönyre. Ez a mintakollekció három darabból áll. Első darabja egy all-over minta, nagyméretű virágmotívumokkal. A második egy csíkos hatású, szárakból és indákból összeálló minta. A harmadik egy visszafogottabb, apró bimbókból álló minta, csak ez rendelkezik a fényáteresztő függönyök világos alapszínével. Ezen kívül van egy bordűr, amely leginkább a harmadik mintával alkalmazható.</w:t>
      </w:r>
      <w:r>
        <w:rPr>
          <w:color w:val="000000"/>
          <w:sz w:val="24"/>
          <w:szCs w:val="24"/>
        </w:rPr>
        <w:br/>
        <w:t xml:space="preserve">A pályázati kiírás szerint, készült két kolorit is, egy földszínekkel és egy kötetlen. Én egy monokróm kolorit mellett döntöttem, annak eleganciája és egyszerűsége miatt.</w:t>
      </w:r>
      <w:r>
        <w:rPr>
          <w:color w:val="000000"/>
          <w:sz w:val="24"/>
          <w:szCs w:val="24"/>
        </w:rPr>
        <w:br/>
        <w:t xml:space="preserve">A dolgozat leírja a kollekció számítógépes tervezését és összeállítását, magában foglalva a választott raportokat és a lehetséges nyomási technológiákat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717469">
    <w:multiLevelType w:val="hybridMultilevel"/>
    <w:lvl w:ilvl="0" w:tplc="678667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717469">
    <w:abstractNumId w:val="677174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13838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