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JÓZSEF TEPERICS</w:t>
            </w:r>
          </w:p>
          <w:p w:rsidR="00C275A3" w:rsidRDefault="00A96AEC" w:rsidP="00C275A3">
            <w:pPr>
              <w:pStyle w:val="Hallgatokepzes"/>
            </w:pPr>
            <w:r>
              <w:t>Hungarian language and literature</w:t>
            </w:r>
            <w:r>
              <w:br/>
            </w:r>
            <w:r w:rsidR="00E77B23">
              <w:t>MA, 11.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Sarolta Osztroluczky PhD</w:t>
            </w:r>
          </w:p>
          <w:p w:rsidR="00DB4822" w:rsidRDefault="00DB4822" w:rsidP="00E11062">
            <w:pPr>
              <w:pStyle w:val="Konzulensek"/>
            </w:pPr>
            <w:r w:rsidRPr="00DB4822">
              <w:t>research fellow,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Problem Of Understanding In A Short Story: Péter by Dezső Kosztolányi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research, we analyse a short story, Péter (1932), written by Dezső Kosztolányi. We do add new types of methods in order to examine this non-canonized work.</w:t>
      </w:r>
    </w:p>
    <w:p>
      <w:pPr>
        <w:widowControl w:val="on"/>
        <w:pBdr/>
        <w:spacing w:before="240" w:after="240" w:line="240" w:lineRule="auto"/>
        <w:ind w:left="0" w:right="0"/>
        <w:jc w:val="left"/>
      </w:pPr>
      <w:r>
        <w:rPr>
          <w:color w:val="000000"/>
          <w:sz w:val="24"/>
          <w:szCs w:val="24"/>
        </w:rPr>
        <w:t xml:space="preserve">First of all, we try to place the short story in the canon of the author and we underline the question why Péter has not been examined before at all.</w:t>
      </w:r>
    </w:p>
    <w:p>
      <w:pPr>
        <w:widowControl w:val="on"/>
        <w:pBdr/>
        <w:spacing w:before="240" w:after="240" w:line="240" w:lineRule="auto"/>
        <w:ind w:left="0" w:right="0"/>
        <w:jc w:val="left"/>
      </w:pPr>
      <w:r>
        <w:rPr>
          <w:color w:val="000000"/>
          <w:sz w:val="24"/>
          <w:szCs w:val="24"/>
        </w:rPr>
        <w:t xml:space="preserve">Secondly, we analyse the characters of the short story in connection with their behaviours, their languages and their relations to each others. We do highlight the problem of understanding among characters and we emphasise the connection of the short story with the ancient Greek mythology.</w:t>
      </w:r>
    </w:p>
    <w:p>
      <w:pPr>
        <w:widowControl w:val="on"/>
        <w:pBdr/>
        <w:spacing w:before="240" w:after="240" w:line="240" w:lineRule="auto"/>
        <w:ind w:left="0" w:right="0"/>
        <w:jc w:val="left"/>
      </w:pPr>
      <w:r>
        <w:rPr>
          <w:color w:val="000000"/>
          <w:sz w:val="24"/>
          <w:szCs w:val="24"/>
        </w:rPr>
        <w:t xml:space="preserve">Finally, we examine the act of writing of this short story and show the possibility of a Christian interpretation.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086947">
    <w:multiLevelType w:val="hybridMultilevel"/>
    <w:lvl w:ilvl="0" w:tplc="868004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086947">
    <w:abstractNumId w:val="450869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64608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