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KAPPELLER</w:t>
            </w:r>
          </w:p>
          <w:p w:rsidR="00C275A3" w:rsidRDefault="00A96AEC" w:rsidP="00C275A3">
            <w:pPr>
              <w:pStyle w:val="Hallgatokepzes"/>
            </w:pPr>
            <w:r>
              <w:t>Hungarian Language and Literature</w:t>
            </w:r>
            <w:r>
              <w:br/>
            </w:r>
            <w:r w:rsidR="00E77B23">
              <w:t>MA, 8.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Kornélia Horváth</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Poetics and Oriental philosophy in Sándor Weöres's poetry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Although, the affection to the Oriental culture in the case of Sándor Weöres is almost a cliché, there is no text in the technical literature that makes an attempt to analyze this connection. The essay consists of two parts. In the first part we emphasize the relevant points between Weöres’s poems and the Oriental philosophy which we think are important in the analysis of the poems in the second part. These points are the realizations of time, personality and emptiness and instead of having no relevance they rather include the possibility of existence and the closely related theme of silence which comes into existence by articulation. According to the title of the essay we try to examine the linguistic, compositional and acoustic collaboration of the texts and also the hypothesis, namely that there is some developing semantic meaning in the poems in a way that word and sound behave as constructive powers. At this point several correspondences can be revealed in connection with the attitude of the Oriental vedic religion to the word.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59510">
    <w:multiLevelType w:val="hybridMultilevel"/>
    <w:lvl w:ilvl="0" w:tplc="54595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59510">
    <w:abstractNumId w:val="49359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152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