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CSÁTI</w:t>
            </w:r>
          </w:p>
          <w:p w:rsidR="00C275A3" w:rsidRDefault="00A96AEC" w:rsidP="00C275A3">
            <w:pPr>
              <w:pStyle w:val="Hallgatokepzes"/>
            </w:pPr>
            <w:r>
              <w:t>Mechanical Engineering BSc</w:t>
            </w:r>
            <w:r>
              <w:br/>
            </w:r>
            <w:r w:rsidR="00E77B23">
              <w:t>BSc, 7.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Vadászné Bognár</w:t>
            </w:r>
          </w:p>
          <w:p w:rsidR="00DB4822" w:rsidRDefault="00DB4822" w:rsidP="00E11062">
            <w:pPr>
              <w:pStyle w:val="Konzulensek"/>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Numerical and theoretical solutions to the boundary layer equations for power-law fluids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study we examined the velocity distribution in the laminar boundary layer over a fixed or moving flat plate in a non-Newtonian media. We dealt with the solution of the system of differential equations describing the incompressible stationary fluid flow. Three different materials were examined: water, a pseudoplastic and a dilatant fluid. In case of the latter two fluids, the power law behavior is considered.</w:t>
      </w:r>
    </w:p>
    <w:p>
      <w:pPr>
        <w:pBdr/>
        <w:spacing w:before="240" w:after="240" w:line="240" w:lineRule="auto"/>
        <w:ind w:left="0" w:right="0"/>
        <w:jc w:val="left"/>
      </w:pPr>
      <w:r>
        <w:rPr>
          <w:color w:val="000000"/>
          <w:sz w:val="24"/>
          <w:szCs w:val="24"/>
        </w:rPr>
        <w:t xml:space="preserve">The numerical solution is gained by using a commercial program, ANSYS Fluent. We present how the increased height of the computational domain, the refined mesh and the moving direction of the plate influences the velocity profile and the wall shear stress.</w:t>
      </w:r>
    </w:p>
    <w:p>
      <w:pPr>
        <w:pBdr/>
        <w:spacing w:before="240" w:after="240" w:line="240" w:lineRule="auto"/>
        <w:ind w:left="0" w:right="0"/>
        <w:jc w:val="left"/>
      </w:pPr>
      <w:r>
        <w:rPr>
          <w:color w:val="000000"/>
          <w:sz w:val="24"/>
          <w:szCs w:val="24"/>
        </w:rPr>
        <w:t xml:space="preserve">For the theoretical solution we derived a third order nonlinear ordinary differential equation with three boundary conditions by using similarity transformation. After introducing a scaling group, the differential equation and two boundary conditions remained invariant, while the invariance of the third boundary condition was provided iteratively. The boundary value problem is transformed into an initial value problem by applying an iterative transformation method. The algorithm is carried out with a Matlab program.</w:t>
      </w:r>
    </w:p>
    <w:p>
      <w:pPr>
        <w:pBdr/>
        <w:spacing w:before="240" w:after="240" w:line="240" w:lineRule="auto"/>
        <w:ind w:left="0" w:right="0"/>
        <w:jc w:val="left"/>
      </w:pPr>
      <w:r>
        <w:rPr>
          <w:color w:val="000000"/>
          <w:sz w:val="24"/>
          <w:szCs w:val="24"/>
        </w:rPr>
        <w:t xml:space="preserve">The numerical results obtained by the Fluent simulation are compared with the theoretical similarity solution for the velocity distribution and for the wall shear stress, respectively. We have summarized our conclusions.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600335">
    <w:multiLevelType w:val="hybridMultilevel"/>
    <w:lvl w:ilvl="0" w:tplc="611051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600335">
    <w:abstractNumId w:val="256003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14362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