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DÓBÉK ÁGNES</w:t>
            </w:r>
          </w:p>
          <w:p w:rsidR="00C275A3" w:rsidRDefault="00A96AEC" w:rsidP="00C275A3">
            <w:pPr>
              <w:pStyle w:val="Hallgatokepzes"/>
            </w:pPr>
            <w:r>
              <w:t>Magyar nyelv és irodalom </w:t>
            </w:r>
            <w:r>
              <w:br/>
            </w:r>
            <w:r w:rsidR="00E77B23">
              <w:t>BA, 6.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László</w:t>
            </w:r>
          </w:p>
          <w:p w:rsidR="00DB4822" w:rsidRDefault="00DB4822" w:rsidP="00E11062">
            <w:pPr>
              <w:pStyle w:val="Konzulensek"/>
            </w:pPr>
            <w:r w:rsidRPr="00DB4822">
              <w:t>egy. tanár,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Barkóczy Ferencet köszöntő versek, beszédek és színjátékok az Esztergomi Főszékesegyházi Könyvtár és az Országos Széchenyi Könyvtár gyűjteményében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Barkóczy Ferenc egri püspök, majd esztergomi érsek reprezentációjának kellékei közül az irodalmi alkotásokat, az ünnepi köszöntő verseket, beszédeket, színjátékokat mutatom be. Egri püspökségének évétől, 1745-től kezdve egészen haláláig, 1765-ig igen sok művet címeztek neki, amelyek különböző ünnepi alkalmakkor, beiktatási ünnepségeken, körútjai és az oktatási intézményekben tett látogatásai alkalmával hangzottak el. A Barkóczyval foglalkozó szakirodalom már közölt ezek közül néhányat, azonban az alkalmi költemények, beszédek számbavételével és bemutatásával még adós maradt. Csak azok az alkotások váltak ismertté az utókor számára, amelyeknek szerzője már egyéb munkájával elismerésre tett szert.</w:t>
      </w:r>
      <w:r>
        <w:rPr>
          <w:color w:val="000000"/>
          <w:sz w:val="24"/>
          <w:szCs w:val="24"/>
        </w:rPr>
        <w:br/>
        <w:t xml:space="preserve">A dolgozathoz mellékelt katalógusban Barkóczy Ferenc reprezentációs irodalmát, orációkat, köszöntő verseket, ajánlásokat, előadásokat, színjátékokat gyűjtöttem össze a Petrik-bibliográfiából és az esztergomi Főszékesegyházi Könyvtár és Érseki Levéltár azonos vonatkozású anyagából. A Pertik-bibliográfiában található adatok közül azokat ellenőriztem, amelyeket az Országos Széchényi Könyvtár gyűjteménye őriz, a fennmaradt, különböző könyvtárakban és levéltárakban található Barkóczy-anyag további kutatási feladatot jelent.</w:t>
      </w:r>
      <w:r>
        <w:rPr>
          <w:color w:val="000000"/>
          <w:sz w:val="24"/>
          <w:szCs w:val="24"/>
        </w:rPr>
        <w:br/>
        <w:t xml:space="preserve">A dolgozatban nincs lehetőség arra, hogy mindegyik, a mellékelt katalógusban megtalálható és fellelt művet bemutassam, így azoknak az alkalmi műveknek a részletesebb bemutatására szorítkozom, amelyek valamilyen oknál fogva – a szerzőt, vagy tartalmi illetve külső formát tekintve – különösen fontosak voltak a püspök, majd az érsek reprezentációjának szempontjából, és a szakirodalom sem mutatta be őket részletesen. A művek bemutatásával párhuzamosan rekonstruálom azokat az ünnepi alkalmakat, és – amennyiben lehetséges – azoknak részvevőit, amelyeken ezek a művek elhangzottak.</w:t>
      </w:r>
      <w:r>
        <w:rPr>
          <w:color w:val="000000"/>
          <w:sz w:val="24"/>
          <w:szCs w:val="24"/>
        </w:rPr>
        <w:br/>
        <w:t xml:space="preserve">A dolgozatban a mellékelt katalógus alapján – időrendben, ezen belül az ünnepi alkalmak szerint – követem végig Barkóczy reprezentációját püspöki beiktatásától egészen haláláig.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96782">
    <w:multiLevelType w:val="hybridMultilevel"/>
    <w:lvl w:ilvl="0" w:tplc="86643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96782">
    <w:abstractNumId w:val="59896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296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