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SOPRONI</w:t>
            </w:r>
          </w:p>
          <w:p w:rsidR="00C275A3" w:rsidRDefault="00A96AEC" w:rsidP="00C275A3">
            <w:pPr>
              <w:pStyle w:val="Hallgatokepzes"/>
            </w:pPr>
            <w:r>
              <w:t>English</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Cecília Gall</w:t>
            </w:r>
          </w:p>
          <w:p w:rsidR="00DB4822" w:rsidRDefault="00DB4822" w:rsidP="00E11062">
            <w:pPr>
              <w:pStyle w:val="Konzulensek"/>
            </w:pPr>
            <w:r w:rsidRPr="00DB4822">
              <w:t>lector,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Pacific Solution: The Most Controversial Immigration Policy of the 2000s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the eleven years of Prime Minister John Howard’s being in office, the foreign relations policies of the government shifted from the previous Asia-friendly approach back to the traditional United States- and United Kingdom-centred attitude. This change is also reflected in the Pacific Solution, which was one of the strictest governmental immigration policies known to the western cultural hemisphere in the post-millennial era. The policy which was in force between 2001 and 2007 excised thousands of islands from the migration zone of Australia, and it provided the government the possibility to remove certain asylum seekers from the territories of the country to third countries during the process of determining the arrivals’ status.</w:t>
      </w:r>
    </w:p>
    <w:p>
      <w:pPr>
        <w:pBdr/>
        <w:spacing w:before="240" w:after="240" w:line="240" w:lineRule="auto"/>
        <w:ind w:left="0" w:right="0"/>
        <w:jc w:val="left"/>
      </w:pPr>
      <w:r>
        <w:rPr>
          <w:color w:val="000000"/>
          <w:sz w:val="24"/>
          <w:szCs w:val="24"/>
        </w:rPr>
        <w:t xml:space="preserve">In my paper, I am giving an overview of the immigration policy of Australia during the aforementioned period, including its historical and social background, discuss its criticism (e.g. the issues of its adherence to international law), and examine and interpret its alleged results in the decrease of unauthorised entries. Throughout the paper, I shall attempt to defend the view that the policy as such was in fact not successful in decreasing the number of arrivals in the given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08382">
    <w:multiLevelType w:val="hybridMultilevel"/>
    <w:lvl w:ilvl="0" w:tplc="27136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08382">
    <w:abstractNumId w:val="30208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3143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