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TÁLAS</w:t>
            </w:r>
          </w:p>
          <w:p w:rsidR="00C275A3" w:rsidRDefault="00A96AEC" w:rsidP="00C275A3">
            <w:pPr>
              <w:pStyle w:val="Hallgatokepzes"/>
            </w:pPr>
            <w:r>
              <w:t>Germanistik</w:t>
            </w:r>
            <w:r>
              <w:br/>
            </w:r>
            <w:r w:rsidR="00E77B23">
              <w:t>BA, 8. semester</w:t>
            </w:r>
          </w:p>
          <w:p w:rsidR="00C265CE" w:rsidRPr="009E5FF1" w:rsidRDefault="00E77B23" w:rsidP="00C275A3">
            <w:pPr>
              <w:pStyle w:val="Hallgatokepzes"/>
              <w:rPr>
                <w:b/>
                <w:caps/>
              </w:rPr>
            </w:pPr>
            <w:r>
              <w:t>Eötvös-Loránd-Universität, Budapest</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Jan Urbich PhD</w:t>
            </w:r>
          </w:p>
          <w:p w:rsidR="00DB4822" w:rsidRDefault="00DB4822" w:rsidP="00E11062">
            <w:pPr>
              <w:pStyle w:val="Konzulensek"/>
            </w:pPr>
            <w:r w:rsidRPr="00DB4822">
              <w:t>Wissenschaftlicher Mitarbeiter,  Friedrich-Schiller-Universität, Jena</w:t>
            </w:r>
          </w:p>
        </w:tc>
      </w:tr>
      <w:tr w:rsidR="00DB4822" w:rsidTr="00DB4822">
        <w:tc>
          <w:tcPr>
            <w:tcW w:w="9854" w:type="dxa"/>
          </w:tcPr>
          <w:p w:rsidR="00DB4822" w:rsidRPr="00DB4822" w:rsidRDefault="00DB4822" w:rsidP="004D7940">
            <w:pPr>
              <w:pStyle w:val="Konzulensek"/>
            </w:pPr>
            <w:r w:rsidRPr="00DB4822">
              <w:t>Magdolna Orosz PhD</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Ideale als Schattenbilder? Die unaufgelöste Dissonanz in Friedrich Hölderlins Hyperion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Friedrich Hölderlins Hyperion ist gewiss eine unerschöpfliche Quelle in der Literaturgeschichte und erscheint nach mehr als 200 Jahren seiner Entstehung immer noch als Wegweiser. Besonders in der heiß umstrittenen Frage eines einheitlichen Europas, das bis zum heutigen Tag nicht zur Verwirklichung gekommen ist. Disharmonie im realen Europa, herrschende Dissonanz im Werk. Die vorliegende Arbeit – Ideale als Schattenbilder? Die unaufgelöste Dissonanz in Friedrich Hölderlins Hyperion – widmet sich der Funktion und dem strukturellen Aufbau der Disharmonie in der dargestellten Welt des Werkes. Obwohl Hölderlin die Gedanken des Idealismus als Leitbild verwendet, bleiben die Ideale bis zum Ende des Romans unverwirklicht und damit nur Schattenbilder.</w:t>
      </w:r>
      <w:r>
        <w:rPr>
          <w:color w:val="000000"/>
          <w:sz w:val="24"/>
          <w:szCs w:val="24"/>
        </w:rPr>
        <w:br/>
        <w:t xml:space="preserve">Mit der resignierten selbstreflektierenden Erzählstimme gibt Hölderlin den Menschen, der im Dualismus der Vernunft und des Gefühls in seinem Inneren zerfällt, als Eckpfeiler der Disharmonie an. Wie das Subjekt in seinem Inneren nicht einig sein kann, so kommen die zwischenmenschlichen Beziehungen ebenfalls nicht zustande. Als eine monumentale Ausdehnung erweist sich die Fehlentwicklung der Harmonie in der Liebesbeziehung zwischen Hyperion und Diotima. Hyperions Abschied von seiner Geliebten erweist sich als ein Abschied von der harmoniestiftenden Liebe. Die Menschengemeinschaft als ein lebendiges und ein entwicklungsfähiges Subjekt ist ohne die einheitsbildende Liebe zum Tode verurteilt. Hölderlin veranschaulicht den Raum als eine Verflechtung des Natur- und Kulturraumes in dem Subjekt der Mutter-Erde. Der personifizierte Raum ist gleichzeitig ein relevanter Gesichtspunkt in seiner Gottesbeziehung. Hyperions Entrücken aus der Welt wird durch die disharmonische Beziehung mit seiner mystisch-transzendentalen Umgebung zum Ausdruck gebracht. Die Disharmonie herrscht also vom Subjekt bis zum Transzendentalen und umfasst damit alles Vorhandene in der Welt.</w:t>
      </w:r>
      <w:r>
        <w:rPr>
          <w:color w:val="000000"/>
          <w:sz w:val="24"/>
          <w:szCs w:val="24"/>
        </w:rPr>
        <w:br/>
        <w:t xml:space="preserve">Hyperion erkannte schon auf seinem Bildungsweg, dass die Einheit allein in der transzendentalen Liebe liegt. Die bis zum Ende des Romans unaufgelöste Dissonanz zeigt, dass der Mensch erkannt hat, wie er eine harmonische Einheit in der Welt schaffen kann, ist aber in seiner derzeitigen Lage noch unfähig, diese zu etablieren.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37815">
    <w:multiLevelType w:val="hybridMultilevel"/>
    <w:lvl w:ilvl="0" w:tplc="64117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37815">
    <w:abstractNumId w:val="686378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5744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