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DARÓCZI</w:t>
            </w:r>
          </w:p>
          <w:p w:rsidR="00C275A3" w:rsidRDefault="00A96AEC" w:rsidP="00C275A3">
            <w:pPr>
              <w:pStyle w:val="Hallgatokepzes"/>
            </w:pPr>
            <w:r>
              <w:t>Deutsche Sprache, Literatur und Kultur</w:t>
            </w:r>
            <w:r>
              <w:br/>
            </w:r>
            <w:r w:rsidR="00E77B23">
              <w:t>MA, 3. semester</w:t>
            </w:r>
          </w:p>
          <w:p w:rsidR="00C265CE" w:rsidRPr="009E5FF1" w:rsidRDefault="00E77B23" w:rsidP="00C275A3">
            <w:pPr>
              <w:pStyle w:val="Hallgatokepzes"/>
              <w:rPr>
                <w:b/>
                <w:caps/>
              </w:rPr>
            </w:pPr>
            <w:r>
              <w:t>Eötvös-Loránd-Universität Budapest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Brdar-Szabó</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Merkmale und Funktionen der Okkasionalismen aus kontrastiver Sicht: Empirische Untersuchungen am Beispiel einer Fernsehserie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der Arbeit ist es zum Ziel gesetzt, die Merkmale und Funktionen der Okkasionalismen zu untersuchen. Die Ad-hoc-Bildungen wurden in der Fachliteratur nur am Rande behandelt, als eine Möglichkeit für die Entstehung neuer Wörter betrachtet. Die kreativen Wortbildungen werden fast ausschließlich als Erscheinung in der Werbesprache erwähnt. Als Korpus dieser Arbeit dient aber nicht ein Werbetext sondern eine US-amerikanische Fernsehserie How I met your mother. Deswegen ist es interessant zu untersuchen, ob die Okkasionalismen auch in dieser Textsorte vorkommen und welche Merkmale und Funktionen sie erfüllen.</w:t>
      </w:r>
    </w:p>
    <w:p>
      <w:pPr>
        <w:pBdr/>
        <w:spacing w:before="240" w:after="240" w:line="240" w:lineRule="auto"/>
        <w:ind w:left="0" w:right="0"/>
        <w:jc w:val="left"/>
      </w:pPr>
      <w:r>
        <w:rPr>
          <w:color w:val="000000"/>
          <w:sz w:val="24"/>
          <w:szCs w:val="24"/>
        </w:rPr>
        <w:br/>
        <w:t xml:space="preserve">Die wichtigsten in der Fachliteratur erwähnten Merkmale der Okkasionalismen sind Kontextabhängigkeit, Nicht-Lexikalisierbarkeit, Spontaneität, Kurzlebendigkeit, Einmaligkeit und Abweichung. Bei der Analyse des Korpus wurde festgestellt, dass nicht alle Merkmale auf alle Beispiele zutreffen. So ist zum Beispiel Spontaneität in einer konstruierten Sprechsituation schwer zu beobachten.</w:t>
      </w:r>
    </w:p>
    <w:p>
      <w:pPr>
        <w:pBdr/>
        <w:spacing w:before="240" w:after="240" w:line="240" w:lineRule="auto"/>
        <w:ind w:left="0" w:right="0"/>
        <w:jc w:val="left"/>
      </w:pPr>
      <w:r>
        <w:rPr>
          <w:color w:val="000000"/>
          <w:sz w:val="24"/>
          <w:szCs w:val="24"/>
        </w:rPr>
        <w:br/>
        <w:t xml:space="preserve">Anhand des Korpus wurde eine statistische Untersuchung durchgeführt, wobei die Ad-hoc-Bildungen zur Funktionen zugeordnet wurden. Es wurde festgestellt, dass eine strikte Zuordnung der Okkasionalismen zu einer Funktion nicht immer möglich ist, deswegen werden auch die sekundären Funktionen mitberücksichtigt. Dabei wurde es beobachtet, dass von der 846 Okkasionalismen, die in dem Korpus vorkommen 448 Belege sowohl eine Bezeichnungsfunktion als auch eine Humorfunktion aufweisen. Daneben ist noch eine Textfunktion festgestellt, das heißt, dass es einige deiktische Ad-hoc-Ausdrücke verwendet werden. Es gibt 10 Okkasionalismen, die nicht zu den erwähnten Kategorien zugeordnet werden können. Einerseits wird es ein fiktiver Slang verwendet, andererseits wird eine okkasionelle Kodierung für Tabuwörter gebildet.</w:t>
      </w:r>
    </w:p>
    <w:p>
      <w:pPr>
        <w:pBdr/>
        <w:spacing w:before="240" w:after="240" w:line="240" w:lineRule="auto"/>
        <w:ind w:left="0" w:right="0"/>
        <w:jc w:val="left"/>
      </w:pPr>
      <w:r>
        <w:rPr>
          <w:color w:val="000000"/>
          <w:sz w:val="24"/>
          <w:szCs w:val="24"/>
        </w:rPr>
        <w:br/>
        <w:t xml:space="preserve">Diese Arbeit ist kontrastiv, das heißt, dass es von der deutschen Übersetzung der Serie ausgegangen ist, aber bei den Wörtern, bei denen eine Übersetzungsabweichung zu beobachten ist, wird die englische und die ungarische Entsprechung auch angegeben. Dabei sinddie Fragen behandelt: Was sind die möglichen Gründe dafür, wenn ein Okkasionalismus nicht übersetz wird? Sind alle syntaktischen Strukturen bei den Ad-hoc-Bildungen in allen drei Sprachen zu beobachten?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0569">
    <w:multiLevelType w:val="hybridMultilevel"/>
    <w:lvl w:ilvl="0" w:tplc="24186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0569">
    <w:abstractNumId w:val="59990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106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