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KISS</w:t>
            </w:r>
          </w:p>
          <w:p w:rsidR="00C275A3" w:rsidRDefault="00A96AEC" w:rsidP="00C275A3">
            <w:pPr>
              <w:pStyle w:val="Hallgatokepzes"/>
            </w:pPr>
            <w:r>
              <w:t>Philologist in Scandinavian Languages, and Literatures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Annus</w:t>
            </w:r>
          </w:p>
          <w:p w:rsidR="00DB4822" w:rsidRDefault="00DB4822" w:rsidP="00E11062">
            <w:pPr>
              <w:pStyle w:val="Konzulensek"/>
            </w:pPr>
            <w:r w:rsidRPr="00DB4822">
              <w:t>chief of library services,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Poems for children interpreted by adults: Swedish Conemporary Children's poems as adult literature</w:t>
      </w:r>
      <w:r>
        <w:t xml:space="preserve"/>
      </w:r>
    </w:p>
    <w:p w:rsidR="00D71DF5" w:rsidRDefault="00D71DF5" w:rsidP="00AD2602">
      <w:pPr>
        <w:jc w:val="both"/>
      </w:pPr>
    </w:p>
    <w:p>
      <w:pPr>
        <w:pBdr/>
        <w:spacing w:before="240" w:after="240" w:line="240" w:lineRule="auto"/>
        <w:ind w:left="450" w:right="0"/>
        <w:jc w:val="left"/>
      </w:pPr>
      <w:r>
        <w:rPr>
          <w:color w:val="000000"/>
          <w:sz w:val="24"/>
          <w:szCs w:val="24"/>
        </w:rPr>
        <w:t xml:space="preserve"> In this study we set out to present and analyse Swedish contemporary poems for children and adolescents. Among the main questions discussed we find the complexity of literature, the recurring topics and motives in Swedish children’s poems. Furthermore we seek to answer the questions what makes Swedish contemporary children’s poems unique and whether these poems are in fact really meant for children. All poems included in this study are taken from the antology called „Ami a szívedet nyomja” which has proved to be a popular selection of Swedish poems in Hungary, therefore we also aim to find the reason for the popularity of these works in both cultural and literary aspects. Throughout the study we will illustrate cultural and literary tendencies with the respective poems in order to simplify the deeper understanding of these works. The study in this sense discusses both Hungarian and Swedish culture and literature giving a more comprehensive picture of children’s literature in both cultures and the possible adult interpretations of the given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43250">
    <w:multiLevelType w:val="hybridMultilevel"/>
    <w:lvl w:ilvl="0" w:tplc="342168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43250">
    <w:abstractNumId w:val="37743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85421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